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73702" w14:textId="422F5AF3" w:rsidR="003A1F1F" w:rsidRPr="00834BB2" w:rsidRDefault="00DD3B80" w:rsidP="00E8663F">
      <w:pPr>
        <w:pBdr>
          <w:bottom w:val="single" w:sz="4" w:space="1" w:color="auto"/>
        </w:pBdr>
        <w:jc w:val="center"/>
        <w:rPr>
          <w:rFonts w:ascii="Myriad Pro" w:hAnsi="Myriad Pro"/>
          <w:b/>
        </w:rPr>
      </w:pPr>
      <w:r w:rsidRPr="00DD3B80">
        <w:rPr>
          <w:rFonts w:ascii="Myriad Pro" w:hAnsi="Myriad Pro"/>
          <w:b/>
        </w:rPr>
        <w:t xml:space="preserve">Augmentation massive du coût économique mondial </w:t>
      </w:r>
      <w:r>
        <w:rPr>
          <w:rFonts w:ascii="Myriad Pro" w:hAnsi="Myriad Pro"/>
          <w:b/>
        </w:rPr>
        <w:br/>
      </w:r>
      <w:r w:rsidRPr="00DD3B80">
        <w:rPr>
          <w:rFonts w:ascii="Myriad Pro" w:hAnsi="Myriad Pro"/>
          <w:b/>
        </w:rPr>
        <w:t>des moustiques envahissants et des maladies qu'ils transmettent</w:t>
      </w:r>
      <w:r w:rsidR="00A55878">
        <w:rPr>
          <w:rFonts w:ascii="Myriad Pro" w:hAnsi="Myriad Pro"/>
          <w:b/>
        </w:rPr>
        <w:br/>
      </w:r>
    </w:p>
    <w:p w14:paraId="7FBFDC85" w14:textId="77777777" w:rsidR="00650847" w:rsidRPr="00834BB2" w:rsidRDefault="00650847" w:rsidP="00650847">
      <w:pPr>
        <w:pBdr>
          <w:bottom w:val="single" w:sz="4" w:space="1" w:color="auto"/>
        </w:pBdr>
        <w:jc w:val="center"/>
        <w:rPr>
          <w:rFonts w:ascii="Myriad Pro" w:hAnsi="Myriad Pro"/>
          <w:b/>
          <w:sz w:val="22"/>
          <w:szCs w:val="22"/>
        </w:rPr>
      </w:pPr>
    </w:p>
    <w:p w14:paraId="1A143DD1" w14:textId="1FBFF0FC" w:rsidR="00412222" w:rsidRPr="00834BB2" w:rsidRDefault="003A1F1F" w:rsidP="00A87ED4">
      <w:pPr>
        <w:pBdr>
          <w:bottom w:val="single" w:sz="4" w:space="1" w:color="auto"/>
        </w:pBdr>
        <w:spacing w:line="276" w:lineRule="auto"/>
        <w:rPr>
          <w:rFonts w:ascii="Myriad Pro" w:hAnsi="Myriad Pro"/>
          <w:sz w:val="22"/>
          <w:szCs w:val="22"/>
        </w:rPr>
      </w:pPr>
      <w:r w:rsidRPr="00834BB2">
        <w:rPr>
          <w:rFonts w:ascii="Myriad Pro" w:hAnsi="Myriad Pro"/>
          <w:b/>
          <w:bCs/>
          <w:sz w:val="22"/>
          <w:szCs w:val="22"/>
        </w:rPr>
        <w:t>Communiqué de presse</w:t>
      </w:r>
      <w:r w:rsidR="004D7E38" w:rsidRPr="00834BB2">
        <w:rPr>
          <w:rFonts w:ascii="Myriad Pro" w:hAnsi="Myriad Pro"/>
          <w:sz w:val="22"/>
          <w:szCs w:val="22"/>
        </w:rPr>
        <w:t xml:space="preserve"> |</w:t>
      </w:r>
      <w:r w:rsidR="00D51C0F" w:rsidRPr="00834BB2">
        <w:rPr>
          <w:rFonts w:ascii="Myriad Pro" w:hAnsi="Myriad Pro" w:cstheme="minorHAnsi"/>
          <w:sz w:val="22"/>
          <w:szCs w:val="22"/>
        </w:rPr>
        <w:t xml:space="preserve"> </w:t>
      </w:r>
      <w:r w:rsidR="00834BB2" w:rsidRPr="00834BB2">
        <w:rPr>
          <w:rFonts w:ascii="Myriad Pro" w:hAnsi="Myriad Pro" w:cstheme="minorHAnsi"/>
          <w:sz w:val="22"/>
          <w:szCs w:val="22"/>
        </w:rPr>
        <w:t>Marseille, le 13</w:t>
      </w:r>
      <w:r w:rsidR="00650847" w:rsidRPr="00834BB2">
        <w:rPr>
          <w:rFonts w:ascii="Myriad Pro" w:hAnsi="Myriad Pro" w:cstheme="minorHAnsi"/>
          <w:sz w:val="22"/>
          <w:szCs w:val="22"/>
        </w:rPr>
        <w:t xml:space="preserve"> </w:t>
      </w:r>
      <w:r w:rsidR="00834BB2" w:rsidRPr="00834BB2">
        <w:rPr>
          <w:rFonts w:ascii="Myriad Pro" w:hAnsi="Myriad Pro" w:cstheme="minorHAnsi"/>
          <w:sz w:val="22"/>
          <w:szCs w:val="22"/>
        </w:rPr>
        <w:t>juin</w:t>
      </w:r>
      <w:r w:rsidR="00650847" w:rsidRPr="00834BB2">
        <w:rPr>
          <w:rFonts w:ascii="Myriad Pro" w:hAnsi="Myriad Pro" w:cstheme="minorHAnsi"/>
          <w:sz w:val="22"/>
          <w:szCs w:val="22"/>
        </w:rPr>
        <w:t xml:space="preserve"> 2024</w:t>
      </w:r>
    </w:p>
    <w:p w14:paraId="7DA5B45A" w14:textId="75DB1BAE" w:rsidR="0076105C" w:rsidRDefault="00177946" w:rsidP="0076105C">
      <w:pPr>
        <w:pStyle w:val="NormalWeb"/>
        <w:jc w:val="both"/>
        <w:rPr>
          <w:rFonts w:ascii="Myriad Pro" w:eastAsiaTheme="minorHAnsi" w:hAnsi="Myriad Pro" w:cstheme="minorBidi"/>
          <w:b/>
          <w:noProof/>
          <w:sz w:val="22"/>
          <w:szCs w:val="22"/>
          <w:lang w:eastAsia="en-US"/>
        </w:rPr>
      </w:pPr>
      <w:r>
        <w:rPr>
          <w:rFonts w:ascii="Myriad Pro" w:hAnsi="Myriad Pro" w:cs="Arial"/>
          <w:b/>
          <w:sz w:val="22"/>
          <w:szCs w:val="22"/>
        </w:rPr>
        <w:t xml:space="preserve">Une </w:t>
      </w:r>
      <w:hyperlink r:id="rId8" w:history="1">
        <w:r w:rsidRPr="00A55878">
          <w:rPr>
            <w:rStyle w:val="Lienhypertexte"/>
            <w:rFonts w:ascii="Myriad Pro" w:hAnsi="Myriad Pro" w:cs="Arial"/>
            <w:b/>
            <w:sz w:val="22"/>
            <w:szCs w:val="22"/>
          </w:rPr>
          <w:t>étude</w:t>
        </w:r>
      </w:hyperlink>
      <w:r>
        <w:rPr>
          <w:rFonts w:ascii="Myriad Pro" w:hAnsi="Myriad Pro" w:cs="Arial"/>
          <w:b/>
          <w:sz w:val="22"/>
          <w:szCs w:val="22"/>
        </w:rPr>
        <w:t xml:space="preserve"> internationale coordonnée par de</w:t>
      </w:r>
      <w:r w:rsidR="00E728D8">
        <w:rPr>
          <w:rFonts w:ascii="Myriad Pro" w:hAnsi="Myriad Pro" w:cs="Arial"/>
          <w:b/>
          <w:sz w:val="22"/>
          <w:szCs w:val="22"/>
        </w:rPr>
        <w:t xml:space="preserve">s </w:t>
      </w:r>
      <w:r w:rsidR="00AF6719">
        <w:rPr>
          <w:rFonts w:ascii="Myriad Pro" w:hAnsi="Myriad Pro" w:cs="Arial"/>
          <w:b/>
          <w:sz w:val="22"/>
          <w:szCs w:val="22"/>
        </w:rPr>
        <w:t>scientifiques</w:t>
      </w:r>
      <w:r w:rsidR="00E728D8">
        <w:rPr>
          <w:rFonts w:ascii="Myriad Pro" w:hAnsi="Myriad Pro" w:cs="Arial"/>
          <w:b/>
          <w:sz w:val="22"/>
          <w:szCs w:val="22"/>
        </w:rPr>
        <w:t xml:space="preserve"> de l’IRD, du CNRS et </w:t>
      </w:r>
      <w:r>
        <w:rPr>
          <w:rFonts w:ascii="Myriad Pro" w:hAnsi="Myriad Pro" w:cs="Arial"/>
          <w:b/>
          <w:sz w:val="22"/>
          <w:szCs w:val="22"/>
        </w:rPr>
        <w:t>du</w:t>
      </w:r>
      <w:r w:rsidRPr="00BB019C">
        <w:rPr>
          <w:rFonts w:ascii="Myriad Pro" w:hAnsi="Myriad Pro" w:cs="Arial"/>
          <w:b/>
          <w:color w:val="FF0000"/>
          <w:sz w:val="22"/>
          <w:szCs w:val="22"/>
        </w:rPr>
        <w:t xml:space="preserve"> </w:t>
      </w:r>
      <w:r w:rsidRPr="00945F16">
        <w:rPr>
          <w:rFonts w:ascii="Myriad Pro" w:hAnsi="Myriad Pro" w:cs="Arial"/>
          <w:b/>
          <w:sz w:val="22"/>
          <w:szCs w:val="22"/>
        </w:rPr>
        <w:t>MNH</w:t>
      </w:r>
      <w:r w:rsidR="00BB019C" w:rsidRPr="00945F16">
        <w:rPr>
          <w:rFonts w:ascii="Myriad Pro" w:hAnsi="Myriad Pro" w:cs="Arial"/>
          <w:b/>
          <w:sz w:val="22"/>
          <w:szCs w:val="22"/>
        </w:rPr>
        <w:t>N</w:t>
      </w:r>
      <w:r>
        <w:rPr>
          <w:rFonts w:ascii="Myriad Pro" w:eastAsiaTheme="minorHAnsi" w:hAnsi="Myriad Pro" w:cstheme="minorBidi"/>
          <w:b/>
          <w:noProof/>
          <w:sz w:val="22"/>
          <w:szCs w:val="22"/>
          <w:lang w:eastAsia="en-US"/>
        </w:rPr>
        <w:t>, révèle l’augmentation</w:t>
      </w:r>
      <w:r w:rsidR="00B06BB9">
        <w:rPr>
          <w:rFonts w:ascii="Myriad Pro" w:eastAsiaTheme="minorHAnsi" w:hAnsi="Myriad Pro" w:cstheme="minorBidi"/>
          <w:b/>
          <w:noProof/>
          <w:sz w:val="22"/>
          <w:szCs w:val="22"/>
          <w:lang w:eastAsia="en-US"/>
        </w:rPr>
        <w:t xml:space="preserve"> massive</w:t>
      </w:r>
      <w:r>
        <w:rPr>
          <w:rFonts w:ascii="Myriad Pro" w:eastAsiaTheme="minorHAnsi" w:hAnsi="Myriad Pro" w:cstheme="minorBidi"/>
          <w:b/>
          <w:noProof/>
          <w:sz w:val="22"/>
          <w:szCs w:val="22"/>
          <w:lang w:eastAsia="en-US"/>
        </w:rPr>
        <w:t xml:space="preserve"> du coût économique mondial</w:t>
      </w:r>
      <w:r w:rsidRPr="00177946">
        <w:rPr>
          <w:rFonts w:ascii="Myriad Pro" w:eastAsiaTheme="minorHAnsi" w:hAnsi="Myriad Pro" w:cstheme="minorBidi"/>
          <w:b/>
          <w:noProof/>
          <w:sz w:val="22"/>
          <w:szCs w:val="22"/>
          <w:lang w:eastAsia="en-US"/>
        </w:rPr>
        <w:t xml:space="preserve"> des moustiques </w:t>
      </w:r>
      <w:r w:rsidR="00A55878" w:rsidRPr="00834BB2">
        <w:rPr>
          <w:rFonts w:ascii="Myriad Pro" w:eastAsiaTheme="minorHAnsi" w:hAnsi="Myriad Pro" w:cstheme="minorBidi"/>
          <w:b/>
          <w:noProof/>
          <w:sz w:val="22"/>
          <w:szCs w:val="22"/>
          <w:lang w:eastAsia="en-US"/>
        </w:rPr>
        <w:t xml:space="preserve">envahissants </w:t>
      </w:r>
      <w:r w:rsidR="00A55878" w:rsidRPr="00A55878">
        <w:rPr>
          <w:rFonts w:ascii="Myriad Pro" w:eastAsiaTheme="minorHAnsi" w:hAnsi="Myriad Pro" w:cstheme="minorBidi"/>
          <w:b/>
          <w:i/>
          <w:noProof/>
          <w:sz w:val="22"/>
          <w:szCs w:val="22"/>
          <w:lang w:eastAsia="en-US"/>
        </w:rPr>
        <w:t>Aedes aegypti</w:t>
      </w:r>
      <w:r w:rsidR="00A55878" w:rsidRPr="00834BB2">
        <w:rPr>
          <w:rFonts w:ascii="Myriad Pro" w:eastAsiaTheme="minorHAnsi" w:hAnsi="Myriad Pro" w:cstheme="minorBidi"/>
          <w:b/>
          <w:noProof/>
          <w:sz w:val="22"/>
          <w:szCs w:val="22"/>
          <w:lang w:eastAsia="en-US"/>
        </w:rPr>
        <w:t xml:space="preserve"> et </w:t>
      </w:r>
      <w:r w:rsidR="00A55878" w:rsidRPr="00A55878">
        <w:rPr>
          <w:rFonts w:ascii="Myriad Pro" w:eastAsiaTheme="minorHAnsi" w:hAnsi="Myriad Pro" w:cstheme="minorBidi"/>
          <w:b/>
          <w:i/>
          <w:noProof/>
          <w:sz w:val="22"/>
          <w:szCs w:val="22"/>
          <w:lang w:eastAsia="en-US"/>
        </w:rPr>
        <w:t>Aedes albopictus</w:t>
      </w:r>
      <w:r w:rsidR="00181D45" w:rsidRPr="00181D45">
        <w:rPr>
          <w:rFonts w:ascii="Myriad Pro" w:eastAsiaTheme="minorHAnsi" w:hAnsi="Myriad Pro" w:cstheme="minorBidi"/>
          <w:b/>
          <w:noProof/>
          <w:sz w:val="22"/>
          <w:szCs w:val="22"/>
          <w:lang w:eastAsia="en-US"/>
        </w:rPr>
        <w:t>,</w:t>
      </w:r>
      <w:r w:rsidR="00A55878" w:rsidRPr="00181D45">
        <w:rPr>
          <w:rFonts w:ascii="Myriad Pro" w:eastAsiaTheme="minorHAnsi" w:hAnsi="Myriad Pro" w:cstheme="minorBidi"/>
          <w:b/>
          <w:noProof/>
          <w:sz w:val="22"/>
          <w:szCs w:val="22"/>
          <w:lang w:eastAsia="en-US"/>
        </w:rPr>
        <w:t xml:space="preserve"> </w:t>
      </w:r>
      <w:r w:rsidR="00A55878">
        <w:rPr>
          <w:rFonts w:ascii="Myriad Pro" w:eastAsiaTheme="minorHAnsi" w:hAnsi="Myriad Pro" w:cstheme="minorBidi"/>
          <w:b/>
          <w:noProof/>
          <w:sz w:val="22"/>
          <w:szCs w:val="22"/>
          <w:lang w:eastAsia="en-US"/>
        </w:rPr>
        <w:t>vecteurs de</w:t>
      </w:r>
      <w:r w:rsidRPr="00177946">
        <w:rPr>
          <w:rFonts w:ascii="Myriad Pro" w:eastAsiaTheme="minorHAnsi" w:hAnsi="Myriad Pro" w:cstheme="minorBidi"/>
          <w:b/>
          <w:noProof/>
          <w:sz w:val="22"/>
          <w:szCs w:val="22"/>
          <w:lang w:eastAsia="en-US"/>
        </w:rPr>
        <w:t xml:space="preserve"> l</w:t>
      </w:r>
      <w:r>
        <w:rPr>
          <w:rFonts w:ascii="Myriad Pro" w:eastAsiaTheme="minorHAnsi" w:hAnsi="Myriad Pro" w:cstheme="minorBidi"/>
          <w:b/>
          <w:noProof/>
          <w:sz w:val="22"/>
          <w:szCs w:val="22"/>
          <w:lang w:eastAsia="en-US"/>
        </w:rPr>
        <w:t xml:space="preserve">a dengue, </w:t>
      </w:r>
      <w:r w:rsidR="00181D45">
        <w:rPr>
          <w:rFonts w:ascii="Myriad Pro" w:eastAsiaTheme="minorHAnsi" w:hAnsi="Myriad Pro" w:cstheme="minorBidi"/>
          <w:b/>
          <w:noProof/>
          <w:sz w:val="22"/>
          <w:szCs w:val="22"/>
          <w:lang w:eastAsia="en-US"/>
        </w:rPr>
        <w:t>du</w:t>
      </w:r>
      <w:r>
        <w:rPr>
          <w:rFonts w:ascii="Myriad Pro" w:eastAsiaTheme="minorHAnsi" w:hAnsi="Myriad Pro" w:cstheme="minorBidi"/>
          <w:b/>
          <w:noProof/>
          <w:sz w:val="22"/>
          <w:szCs w:val="22"/>
          <w:lang w:eastAsia="en-US"/>
        </w:rPr>
        <w:t xml:space="preserve"> chikugunya et </w:t>
      </w:r>
      <w:r w:rsidR="00181D45">
        <w:rPr>
          <w:rFonts w:ascii="Myriad Pro" w:eastAsiaTheme="minorHAnsi" w:hAnsi="Myriad Pro" w:cstheme="minorBidi"/>
          <w:b/>
          <w:noProof/>
          <w:sz w:val="22"/>
          <w:szCs w:val="22"/>
          <w:lang w:eastAsia="en-US"/>
        </w:rPr>
        <w:t>du</w:t>
      </w:r>
      <w:r w:rsidR="00EB300D">
        <w:rPr>
          <w:rFonts w:ascii="Myriad Pro" w:eastAsiaTheme="minorHAnsi" w:hAnsi="Myriad Pro" w:cstheme="minorBidi"/>
          <w:b/>
          <w:noProof/>
          <w:sz w:val="22"/>
          <w:szCs w:val="22"/>
          <w:lang w:eastAsia="en-US"/>
        </w:rPr>
        <w:t xml:space="preserve"> virus Zika</w:t>
      </w:r>
      <w:r w:rsidR="00021725">
        <w:rPr>
          <w:rFonts w:ascii="Myriad Pro" w:eastAsiaTheme="minorHAnsi" w:hAnsi="Myriad Pro" w:cstheme="minorBidi"/>
          <w:b/>
          <w:noProof/>
          <w:sz w:val="22"/>
          <w:szCs w:val="22"/>
          <w:lang w:eastAsia="en-US"/>
        </w:rPr>
        <w:t xml:space="preserve"> au cours des dernières décennies</w:t>
      </w:r>
      <w:r w:rsidR="00EB300D">
        <w:rPr>
          <w:rFonts w:ascii="Myriad Pro" w:eastAsiaTheme="minorHAnsi" w:hAnsi="Myriad Pro" w:cstheme="minorBidi"/>
          <w:b/>
          <w:noProof/>
          <w:sz w:val="22"/>
          <w:szCs w:val="22"/>
          <w:lang w:eastAsia="en-US"/>
        </w:rPr>
        <w:t>.</w:t>
      </w:r>
      <w:r w:rsidR="008120FA">
        <w:rPr>
          <w:rFonts w:ascii="Myriad Pro" w:eastAsiaTheme="minorHAnsi" w:hAnsi="Myriad Pro" w:cstheme="minorBidi"/>
          <w:b/>
          <w:noProof/>
          <w:sz w:val="22"/>
          <w:szCs w:val="22"/>
          <w:lang w:eastAsia="en-US"/>
        </w:rPr>
        <w:t xml:space="preserve"> </w:t>
      </w:r>
      <w:r w:rsidR="004467EE">
        <w:rPr>
          <w:rFonts w:ascii="Myriad Pro" w:eastAsiaTheme="minorHAnsi" w:hAnsi="Myriad Pro" w:cstheme="minorBidi"/>
          <w:b/>
          <w:noProof/>
          <w:sz w:val="22"/>
          <w:szCs w:val="22"/>
          <w:lang w:eastAsia="en-US"/>
        </w:rPr>
        <w:t>E</w:t>
      </w:r>
      <w:r w:rsidR="005F015A">
        <w:rPr>
          <w:rFonts w:ascii="Myriad Pro" w:eastAsiaTheme="minorHAnsi" w:hAnsi="Myriad Pro" w:cstheme="minorBidi"/>
          <w:b/>
          <w:noProof/>
          <w:sz w:val="22"/>
          <w:szCs w:val="22"/>
          <w:lang w:eastAsia="en-US"/>
        </w:rPr>
        <w:t>ntre 1975 et 2020</w:t>
      </w:r>
      <w:r w:rsidR="004467EE">
        <w:rPr>
          <w:rFonts w:ascii="Myriad Pro" w:eastAsiaTheme="minorHAnsi" w:hAnsi="Myriad Pro" w:cstheme="minorBidi"/>
          <w:b/>
          <w:noProof/>
          <w:sz w:val="22"/>
          <w:szCs w:val="22"/>
          <w:lang w:eastAsia="en-US"/>
        </w:rPr>
        <w:t>, le total des coûts recencés</w:t>
      </w:r>
      <w:r w:rsidR="005F015A">
        <w:rPr>
          <w:rFonts w:ascii="Myriad Pro" w:eastAsiaTheme="minorHAnsi" w:hAnsi="Myriad Pro" w:cstheme="minorBidi"/>
          <w:b/>
          <w:noProof/>
          <w:sz w:val="22"/>
          <w:szCs w:val="22"/>
          <w:lang w:eastAsia="en-US"/>
        </w:rPr>
        <w:t xml:space="preserve"> s’élève à 94,7 milliards de dollars</w:t>
      </w:r>
      <w:r w:rsidR="00021725">
        <w:rPr>
          <w:rFonts w:ascii="Myriad Pro" w:eastAsiaTheme="minorHAnsi" w:hAnsi="Myriad Pro" w:cstheme="minorBidi"/>
          <w:b/>
          <w:noProof/>
          <w:sz w:val="22"/>
          <w:szCs w:val="22"/>
          <w:lang w:eastAsia="en-US"/>
        </w:rPr>
        <w:t xml:space="preserve">. Bien que sous-estimés car </w:t>
      </w:r>
      <w:r w:rsidR="003D2D96">
        <w:rPr>
          <w:rFonts w:ascii="Myriad Pro" w:eastAsiaTheme="minorHAnsi" w:hAnsi="Myriad Pro" w:cstheme="minorBidi"/>
          <w:b/>
          <w:noProof/>
          <w:sz w:val="22"/>
          <w:szCs w:val="22"/>
          <w:lang w:eastAsia="en-US"/>
        </w:rPr>
        <w:t xml:space="preserve">encore </w:t>
      </w:r>
      <w:r w:rsidR="00021725">
        <w:rPr>
          <w:rFonts w:ascii="Myriad Pro" w:eastAsiaTheme="minorHAnsi" w:hAnsi="Myriad Pro" w:cstheme="minorBidi"/>
          <w:b/>
          <w:noProof/>
          <w:sz w:val="22"/>
          <w:szCs w:val="22"/>
          <w:lang w:eastAsia="en-US"/>
        </w:rPr>
        <w:t xml:space="preserve">rarement </w:t>
      </w:r>
      <w:r w:rsidR="003D2D96">
        <w:rPr>
          <w:rFonts w:ascii="Myriad Pro" w:eastAsiaTheme="minorHAnsi" w:hAnsi="Myriad Pro" w:cstheme="minorBidi"/>
          <w:b/>
          <w:noProof/>
          <w:sz w:val="22"/>
          <w:szCs w:val="22"/>
          <w:lang w:eastAsia="en-US"/>
        </w:rPr>
        <w:t xml:space="preserve">chiffrés et </w:t>
      </w:r>
      <w:r w:rsidR="00021725">
        <w:rPr>
          <w:rFonts w:ascii="Myriad Pro" w:eastAsiaTheme="minorHAnsi" w:hAnsi="Myriad Pro" w:cstheme="minorBidi"/>
          <w:b/>
          <w:noProof/>
          <w:sz w:val="22"/>
          <w:szCs w:val="22"/>
          <w:lang w:eastAsia="en-US"/>
        </w:rPr>
        <w:t>déclarés</w:t>
      </w:r>
      <w:r w:rsidR="005B4C1C">
        <w:rPr>
          <w:rFonts w:ascii="Myriad Pro" w:eastAsiaTheme="minorHAnsi" w:hAnsi="Myriad Pro" w:cstheme="minorBidi"/>
          <w:b/>
          <w:noProof/>
          <w:sz w:val="22"/>
          <w:szCs w:val="22"/>
          <w:lang w:eastAsia="en-US"/>
        </w:rPr>
        <w:t xml:space="preserve"> dans de nombreux</w:t>
      </w:r>
      <w:r w:rsidR="003D2D96">
        <w:rPr>
          <w:rFonts w:ascii="Myriad Pro" w:eastAsiaTheme="minorHAnsi" w:hAnsi="Myriad Pro" w:cstheme="minorBidi"/>
          <w:b/>
          <w:noProof/>
          <w:sz w:val="22"/>
          <w:szCs w:val="22"/>
          <w:lang w:eastAsia="en-US"/>
        </w:rPr>
        <w:t xml:space="preserve"> pays</w:t>
      </w:r>
      <w:r w:rsidR="00021725">
        <w:rPr>
          <w:rFonts w:ascii="Myriad Pro" w:eastAsiaTheme="minorHAnsi" w:hAnsi="Myriad Pro" w:cstheme="minorBidi"/>
          <w:b/>
          <w:noProof/>
          <w:sz w:val="22"/>
          <w:szCs w:val="22"/>
          <w:lang w:eastAsia="en-US"/>
        </w:rPr>
        <w:t>, l</w:t>
      </w:r>
      <w:r w:rsidR="004467EE">
        <w:rPr>
          <w:rFonts w:ascii="Myriad Pro" w:eastAsiaTheme="minorHAnsi" w:hAnsi="Myriad Pro" w:cstheme="minorBidi"/>
          <w:b/>
          <w:noProof/>
          <w:sz w:val="22"/>
          <w:szCs w:val="22"/>
          <w:lang w:eastAsia="en-US"/>
        </w:rPr>
        <w:t>es</w:t>
      </w:r>
      <w:r w:rsidR="005F015A">
        <w:rPr>
          <w:rFonts w:ascii="Myriad Pro" w:hAnsi="Myriad Pro" w:cs="Arial"/>
          <w:b/>
          <w:sz w:val="22"/>
          <w:szCs w:val="22"/>
        </w:rPr>
        <w:t xml:space="preserve"> coûts </w:t>
      </w:r>
      <w:r w:rsidR="00021725">
        <w:rPr>
          <w:rFonts w:ascii="Myriad Pro" w:hAnsi="Myriad Pro" w:cs="Arial"/>
          <w:b/>
          <w:sz w:val="22"/>
          <w:szCs w:val="22"/>
        </w:rPr>
        <w:t xml:space="preserve">liés aux pertes et </w:t>
      </w:r>
      <w:r w:rsidR="005F015A">
        <w:rPr>
          <w:rFonts w:ascii="Myriad Pro" w:hAnsi="Myriad Pro" w:cs="Arial"/>
          <w:b/>
          <w:sz w:val="22"/>
          <w:szCs w:val="22"/>
        </w:rPr>
        <w:t xml:space="preserve">dommages </w:t>
      </w:r>
      <w:r w:rsidR="00021725">
        <w:rPr>
          <w:rFonts w:ascii="Myriad Pro" w:hAnsi="Myriad Pro" w:cs="Arial"/>
          <w:b/>
          <w:sz w:val="22"/>
          <w:szCs w:val="22"/>
        </w:rPr>
        <w:t xml:space="preserve">induits par ces moustiques et les maladies qu’ils transmettent ont littéralement explosé depuis le début des années 2000, alors que les </w:t>
      </w:r>
      <w:r w:rsidR="003D2D96">
        <w:rPr>
          <w:rFonts w:ascii="Myriad Pro" w:hAnsi="Myriad Pro" w:cs="Arial"/>
          <w:b/>
          <w:sz w:val="22"/>
          <w:szCs w:val="22"/>
        </w:rPr>
        <w:t>investissements dédi</w:t>
      </w:r>
      <w:r w:rsidR="005F015A">
        <w:rPr>
          <w:rFonts w:ascii="Myriad Pro" w:hAnsi="Myriad Pro" w:cs="Arial"/>
          <w:b/>
          <w:sz w:val="22"/>
          <w:szCs w:val="22"/>
        </w:rPr>
        <w:t xml:space="preserve">és </w:t>
      </w:r>
      <w:r w:rsidR="003D2D96">
        <w:rPr>
          <w:rFonts w:ascii="Myriad Pro" w:hAnsi="Myriad Pro" w:cs="Arial"/>
          <w:b/>
          <w:sz w:val="22"/>
          <w:szCs w:val="22"/>
        </w:rPr>
        <w:t>à</w:t>
      </w:r>
      <w:r w:rsidR="005F015A">
        <w:rPr>
          <w:rFonts w:ascii="Myriad Pro" w:hAnsi="Myriad Pro" w:cs="Arial"/>
          <w:b/>
          <w:sz w:val="22"/>
          <w:szCs w:val="22"/>
        </w:rPr>
        <w:t xml:space="preserve"> </w:t>
      </w:r>
      <w:r w:rsidR="005F015A" w:rsidRPr="006D3461">
        <w:rPr>
          <w:rFonts w:ascii="Myriad Pro" w:hAnsi="Myriad Pro" w:cs="Arial"/>
          <w:b/>
          <w:sz w:val="22"/>
          <w:szCs w:val="22"/>
        </w:rPr>
        <w:t xml:space="preserve">la gestion et </w:t>
      </w:r>
      <w:r w:rsidR="005F015A">
        <w:rPr>
          <w:rFonts w:ascii="Myriad Pro" w:hAnsi="Myriad Pro" w:cs="Arial"/>
          <w:b/>
          <w:sz w:val="22"/>
          <w:szCs w:val="22"/>
        </w:rPr>
        <w:t xml:space="preserve">à </w:t>
      </w:r>
      <w:r w:rsidR="005F015A" w:rsidRPr="006D3461">
        <w:rPr>
          <w:rFonts w:ascii="Myriad Pro" w:hAnsi="Myriad Pro" w:cs="Arial"/>
          <w:b/>
          <w:sz w:val="22"/>
          <w:szCs w:val="22"/>
        </w:rPr>
        <w:t>la prévention de ces maladies</w:t>
      </w:r>
      <w:r w:rsidR="003D2D96">
        <w:rPr>
          <w:rFonts w:ascii="Myriad Pro" w:hAnsi="Myriad Pro" w:cs="Arial"/>
          <w:b/>
          <w:sz w:val="22"/>
          <w:szCs w:val="22"/>
        </w:rPr>
        <w:t xml:space="preserve"> restent stables</w:t>
      </w:r>
      <w:r w:rsidR="009F1E92">
        <w:rPr>
          <w:rFonts w:ascii="Myriad Pro" w:hAnsi="Myriad Pro" w:cs="Arial"/>
          <w:b/>
          <w:sz w:val="22"/>
          <w:szCs w:val="22"/>
        </w:rPr>
        <w:t>, ne représentant qu’une fraction des coûts totaux</w:t>
      </w:r>
      <w:r w:rsidR="00076BBD">
        <w:rPr>
          <w:rFonts w:ascii="Myriad Pro" w:eastAsiaTheme="minorHAnsi" w:hAnsi="Myriad Pro" w:cstheme="minorBidi"/>
          <w:b/>
          <w:noProof/>
          <w:sz w:val="22"/>
          <w:szCs w:val="22"/>
          <w:lang w:eastAsia="en-US"/>
        </w:rPr>
        <w:t>.</w:t>
      </w:r>
      <w:r w:rsidR="00B93763">
        <w:rPr>
          <w:rFonts w:ascii="Myriad Pro" w:eastAsiaTheme="minorHAnsi" w:hAnsi="Myriad Pro" w:cstheme="minorBidi"/>
          <w:b/>
          <w:noProof/>
          <w:sz w:val="22"/>
          <w:szCs w:val="22"/>
          <w:lang w:eastAsia="en-US"/>
        </w:rPr>
        <w:t xml:space="preserve"> Les bénéfices attendus de la mise en place de stratégies de prévention efficaces et durables sont colossaux. </w:t>
      </w:r>
    </w:p>
    <w:p w14:paraId="332BACD7" w14:textId="07C61360" w:rsidR="001567AC" w:rsidRPr="00320D06" w:rsidRDefault="003316F6" w:rsidP="001567AC">
      <w:pPr>
        <w:jc w:val="both"/>
        <w:rPr>
          <w:rFonts w:ascii="Myriad Pro" w:hAnsi="Myriad Pro"/>
          <w:sz w:val="22"/>
          <w:szCs w:val="22"/>
        </w:rPr>
      </w:pPr>
      <w:r>
        <w:rPr>
          <w:rFonts w:ascii="Myriad Pro" w:hAnsi="Myriad Pro"/>
          <w:sz w:val="22"/>
          <w:szCs w:val="22"/>
        </w:rPr>
        <w:t xml:space="preserve">Fondée sur un jeu de données et </w:t>
      </w:r>
      <w:r w:rsidRPr="00320D06">
        <w:rPr>
          <w:rFonts w:ascii="Myriad Pro" w:hAnsi="Myriad Pro"/>
          <w:noProof/>
          <w:sz w:val="22"/>
          <w:szCs w:val="22"/>
        </w:rPr>
        <w:t xml:space="preserve">une </w:t>
      </w:r>
      <w:r w:rsidRPr="00320D06">
        <w:rPr>
          <w:rFonts w:ascii="Myriad Pro" w:hAnsi="Myriad Pro"/>
          <w:sz w:val="22"/>
          <w:szCs w:val="22"/>
        </w:rPr>
        <w:t>typologie de coûts spécifiques</w:t>
      </w:r>
      <w:r>
        <w:rPr>
          <w:rFonts w:ascii="Myriad Pro" w:hAnsi="Myriad Pro"/>
          <w:sz w:val="22"/>
          <w:szCs w:val="22"/>
        </w:rPr>
        <w:t xml:space="preserve"> </w:t>
      </w:r>
      <w:r w:rsidR="001567AC">
        <w:rPr>
          <w:rFonts w:ascii="Myriad Pro" w:hAnsi="Myriad Pro"/>
          <w:sz w:val="22"/>
          <w:szCs w:val="22"/>
        </w:rPr>
        <w:t>liés aux</w:t>
      </w:r>
      <w:r>
        <w:rPr>
          <w:rFonts w:ascii="Myriad Pro" w:hAnsi="Myriad Pro"/>
          <w:sz w:val="22"/>
          <w:szCs w:val="22"/>
        </w:rPr>
        <w:t xml:space="preserve"> dommages et</w:t>
      </w:r>
      <w:r w:rsidR="001567AC">
        <w:rPr>
          <w:rFonts w:ascii="Myriad Pro" w:hAnsi="Myriad Pro"/>
          <w:sz w:val="22"/>
          <w:szCs w:val="22"/>
        </w:rPr>
        <w:t xml:space="preserve"> aux pertes – </w:t>
      </w:r>
      <w:r>
        <w:rPr>
          <w:rFonts w:ascii="Myriad Pro" w:hAnsi="Myriad Pro"/>
          <w:sz w:val="22"/>
          <w:szCs w:val="22"/>
        </w:rPr>
        <w:t>coûts médicaux directs, coûts non médicaux directs et coûts indirects</w:t>
      </w:r>
      <w:r w:rsidR="00EB300D">
        <w:rPr>
          <w:rStyle w:val="Appelnotedebasdep"/>
          <w:rFonts w:ascii="Myriad Pro" w:hAnsi="Myriad Pro"/>
          <w:sz w:val="22"/>
          <w:szCs w:val="22"/>
        </w:rPr>
        <w:footnoteReference w:id="1"/>
      </w:r>
      <w:r w:rsidR="001567AC">
        <w:rPr>
          <w:rFonts w:ascii="Myriad Pro" w:hAnsi="Myriad Pro"/>
          <w:sz w:val="22"/>
          <w:szCs w:val="22"/>
        </w:rPr>
        <w:t xml:space="preserve"> –</w:t>
      </w:r>
      <w:r>
        <w:rPr>
          <w:rFonts w:ascii="Myriad Pro" w:hAnsi="Myriad Pro"/>
          <w:sz w:val="22"/>
          <w:szCs w:val="22"/>
        </w:rPr>
        <w:t xml:space="preserve"> </w:t>
      </w:r>
      <w:r w:rsidR="00071E03">
        <w:rPr>
          <w:rFonts w:ascii="Myriad Pro" w:hAnsi="Myriad Pro"/>
          <w:sz w:val="22"/>
          <w:szCs w:val="22"/>
        </w:rPr>
        <w:t>causés par</w:t>
      </w:r>
      <w:r w:rsidR="00320D06">
        <w:rPr>
          <w:rFonts w:ascii="Myriad Pro" w:hAnsi="Myriad Pro"/>
          <w:sz w:val="22"/>
          <w:szCs w:val="22"/>
        </w:rPr>
        <w:t xml:space="preserve"> la dengue,</w:t>
      </w:r>
      <w:r w:rsidR="00606181" w:rsidRPr="00320D06">
        <w:rPr>
          <w:rFonts w:ascii="Myriad Pro" w:hAnsi="Myriad Pro"/>
          <w:sz w:val="22"/>
          <w:szCs w:val="22"/>
        </w:rPr>
        <w:t xml:space="preserve"> </w:t>
      </w:r>
      <w:r w:rsidR="00071E03">
        <w:rPr>
          <w:rFonts w:ascii="Myriad Pro" w:hAnsi="Myriad Pro"/>
          <w:sz w:val="22"/>
          <w:szCs w:val="22"/>
        </w:rPr>
        <w:t>le</w:t>
      </w:r>
      <w:r w:rsidR="00606181" w:rsidRPr="00320D06">
        <w:rPr>
          <w:rFonts w:ascii="Myriad Pro" w:hAnsi="Myriad Pro"/>
          <w:sz w:val="22"/>
          <w:szCs w:val="22"/>
        </w:rPr>
        <w:t xml:space="preserve"> chikungunya </w:t>
      </w:r>
      <w:r w:rsidR="00320D06">
        <w:rPr>
          <w:rFonts w:ascii="Myriad Pro" w:hAnsi="Myriad Pro"/>
          <w:sz w:val="22"/>
          <w:szCs w:val="22"/>
        </w:rPr>
        <w:t xml:space="preserve">et </w:t>
      </w:r>
      <w:r w:rsidR="005F015A">
        <w:rPr>
          <w:rFonts w:ascii="Myriad Pro" w:hAnsi="Myriad Pro"/>
          <w:sz w:val="22"/>
          <w:szCs w:val="22"/>
        </w:rPr>
        <w:t>le</w:t>
      </w:r>
      <w:r w:rsidR="00320D06">
        <w:rPr>
          <w:rFonts w:ascii="Myriad Pro" w:hAnsi="Myriad Pro"/>
          <w:sz w:val="22"/>
          <w:szCs w:val="22"/>
        </w:rPr>
        <w:t xml:space="preserve"> Zika, </w:t>
      </w:r>
      <w:r w:rsidR="001567AC">
        <w:rPr>
          <w:rFonts w:ascii="Myriad Pro" w:hAnsi="Myriad Pro"/>
          <w:sz w:val="22"/>
          <w:szCs w:val="22"/>
        </w:rPr>
        <w:t>c</w:t>
      </w:r>
      <w:r w:rsidRPr="00320D06">
        <w:rPr>
          <w:rFonts w:ascii="Myriad Pro" w:hAnsi="Myriad Pro"/>
          <w:sz w:val="22"/>
          <w:szCs w:val="22"/>
        </w:rPr>
        <w:t xml:space="preserve">ette étude </w:t>
      </w:r>
      <w:r w:rsidR="001567AC">
        <w:rPr>
          <w:rFonts w:ascii="Myriad Pro" w:hAnsi="Myriad Pro"/>
          <w:sz w:val="22"/>
          <w:szCs w:val="22"/>
        </w:rPr>
        <w:t xml:space="preserve">constitue la </w:t>
      </w:r>
      <w:r w:rsidR="00320D06" w:rsidRPr="00320D06">
        <w:rPr>
          <w:rFonts w:ascii="Myriad Pro" w:hAnsi="Myriad Pro"/>
          <w:noProof/>
          <w:sz w:val="22"/>
          <w:szCs w:val="22"/>
        </w:rPr>
        <w:t xml:space="preserve">compilation la plus récente, la plus complète, la </w:t>
      </w:r>
      <w:r w:rsidR="00957373">
        <w:rPr>
          <w:rFonts w:ascii="Myriad Pro" w:hAnsi="Myriad Pro"/>
          <w:noProof/>
          <w:sz w:val="22"/>
          <w:szCs w:val="22"/>
        </w:rPr>
        <w:t>mieux</w:t>
      </w:r>
      <w:r w:rsidR="00957373" w:rsidRPr="00320D06">
        <w:rPr>
          <w:rFonts w:ascii="Myriad Pro" w:hAnsi="Myriad Pro"/>
          <w:noProof/>
          <w:sz w:val="22"/>
          <w:szCs w:val="22"/>
        </w:rPr>
        <w:t xml:space="preserve"> </w:t>
      </w:r>
      <w:r w:rsidR="00DD3B80">
        <w:rPr>
          <w:rFonts w:ascii="Myriad Pro" w:hAnsi="Myriad Pro"/>
          <w:noProof/>
          <w:sz w:val="22"/>
          <w:szCs w:val="22"/>
        </w:rPr>
        <w:t>standardisée,</w:t>
      </w:r>
      <w:r w:rsidR="00320D06" w:rsidRPr="00320D06">
        <w:rPr>
          <w:rFonts w:ascii="Myriad Pro" w:hAnsi="Myriad Pro"/>
          <w:noProof/>
          <w:sz w:val="22"/>
          <w:szCs w:val="22"/>
        </w:rPr>
        <w:t xml:space="preserve"> la plus robuste et la plus </w:t>
      </w:r>
      <w:r w:rsidR="00AC79B3">
        <w:rPr>
          <w:rFonts w:ascii="Myriad Pro" w:hAnsi="Myriad Pro"/>
          <w:noProof/>
          <w:sz w:val="22"/>
          <w:szCs w:val="22"/>
        </w:rPr>
        <w:t>précise</w:t>
      </w:r>
      <w:r w:rsidR="00AC79B3" w:rsidRPr="00320D06">
        <w:rPr>
          <w:rFonts w:ascii="Myriad Pro" w:hAnsi="Myriad Pro"/>
          <w:noProof/>
          <w:sz w:val="22"/>
          <w:szCs w:val="22"/>
        </w:rPr>
        <w:t xml:space="preserve"> </w:t>
      </w:r>
      <w:r w:rsidR="00071E03">
        <w:rPr>
          <w:rFonts w:ascii="Myriad Pro" w:hAnsi="Myriad Pro"/>
          <w:noProof/>
          <w:sz w:val="22"/>
          <w:szCs w:val="22"/>
        </w:rPr>
        <w:t xml:space="preserve">des </w:t>
      </w:r>
      <w:r w:rsidR="001567AC">
        <w:rPr>
          <w:rFonts w:ascii="Myriad Pro" w:hAnsi="Myriad Pro"/>
          <w:noProof/>
          <w:sz w:val="22"/>
          <w:szCs w:val="22"/>
        </w:rPr>
        <w:t xml:space="preserve">coûts </w:t>
      </w:r>
      <w:r w:rsidR="001567AC" w:rsidRPr="00320D06">
        <w:rPr>
          <w:rFonts w:ascii="Myriad Pro" w:hAnsi="Myriad Pro"/>
          <w:sz w:val="22"/>
          <w:szCs w:val="22"/>
        </w:rPr>
        <w:t>associés aux espèces invasives d'</w:t>
      </w:r>
      <w:r w:rsidR="001567AC" w:rsidRPr="00320D06">
        <w:rPr>
          <w:rFonts w:ascii="Myriad Pro" w:hAnsi="Myriad Pro"/>
          <w:i/>
          <w:sz w:val="22"/>
          <w:szCs w:val="22"/>
        </w:rPr>
        <w:t>Aedes</w:t>
      </w:r>
      <w:r w:rsidR="001567AC" w:rsidRPr="00320D06">
        <w:rPr>
          <w:rFonts w:ascii="Myriad Pro" w:hAnsi="Myriad Pro"/>
          <w:sz w:val="22"/>
          <w:szCs w:val="22"/>
        </w:rPr>
        <w:t xml:space="preserve"> et </w:t>
      </w:r>
      <w:r w:rsidR="005F015A">
        <w:rPr>
          <w:rFonts w:ascii="Myriad Pro" w:hAnsi="Myriad Pro"/>
          <w:sz w:val="22"/>
          <w:szCs w:val="22"/>
        </w:rPr>
        <w:t>aux</w:t>
      </w:r>
      <w:r w:rsidR="001567AC" w:rsidRPr="00320D06">
        <w:rPr>
          <w:rFonts w:ascii="Myriad Pro" w:hAnsi="Myriad Pro"/>
          <w:sz w:val="22"/>
          <w:szCs w:val="22"/>
        </w:rPr>
        <w:t xml:space="preserve"> maladies transmises par</w:t>
      </w:r>
      <w:r w:rsidR="005F015A" w:rsidRPr="00AC79B3">
        <w:rPr>
          <w:rFonts w:ascii="Myriad Pro" w:hAnsi="Myriad Pro"/>
          <w:sz w:val="22"/>
          <w:szCs w:val="22"/>
        </w:rPr>
        <w:t xml:space="preserve"> ces</w:t>
      </w:r>
      <w:r w:rsidR="00AC79B3" w:rsidRPr="00986193">
        <w:rPr>
          <w:rFonts w:ascii="Myriad Pro" w:hAnsi="Myriad Pro"/>
          <w:sz w:val="22"/>
          <w:szCs w:val="22"/>
        </w:rPr>
        <w:t xml:space="preserve"> moustiques, </w:t>
      </w:r>
      <w:r w:rsidR="00957373">
        <w:rPr>
          <w:rFonts w:ascii="Myriad Pro" w:hAnsi="Myriad Pro"/>
          <w:sz w:val="22"/>
          <w:szCs w:val="22"/>
        </w:rPr>
        <w:t>rapportés dans le monde entre</w:t>
      </w:r>
      <w:r w:rsidR="001567AC" w:rsidRPr="00957373">
        <w:rPr>
          <w:rFonts w:ascii="Myriad Pro" w:hAnsi="Myriad Pro"/>
          <w:noProof/>
          <w:sz w:val="22"/>
          <w:szCs w:val="22"/>
        </w:rPr>
        <w:t xml:space="preserve"> </w:t>
      </w:r>
      <w:r w:rsidR="001567AC" w:rsidRPr="00320D06">
        <w:rPr>
          <w:rFonts w:ascii="Myriad Pro" w:hAnsi="Myriad Pro"/>
          <w:noProof/>
          <w:sz w:val="22"/>
          <w:szCs w:val="22"/>
        </w:rPr>
        <w:t xml:space="preserve">1975 </w:t>
      </w:r>
      <w:r w:rsidR="00957373">
        <w:rPr>
          <w:rFonts w:ascii="Myriad Pro" w:hAnsi="Myriad Pro"/>
          <w:noProof/>
          <w:sz w:val="22"/>
          <w:szCs w:val="22"/>
        </w:rPr>
        <w:t>et</w:t>
      </w:r>
      <w:r w:rsidR="001567AC" w:rsidRPr="00320D06">
        <w:rPr>
          <w:rFonts w:ascii="Myriad Pro" w:hAnsi="Myriad Pro"/>
          <w:noProof/>
          <w:sz w:val="22"/>
          <w:szCs w:val="22"/>
        </w:rPr>
        <w:t xml:space="preserve"> 2020</w:t>
      </w:r>
      <w:r w:rsidR="001567AC">
        <w:rPr>
          <w:rFonts w:ascii="Myriad Pro" w:hAnsi="Myriad Pro"/>
          <w:noProof/>
          <w:sz w:val="22"/>
          <w:szCs w:val="22"/>
        </w:rPr>
        <w:t xml:space="preserve">. </w:t>
      </w:r>
      <w:r w:rsidR="00AF6719" w:rsidRPr="00AF6719">
        <w:rPr>
          <w:rFonts w:ascii="Myriad Pro" w:hAnsi="Myriad Pro"/>
          <w:noProof/>
          <w:sz w:val="22"/>
          <w:szCs w:val="22"/>
        </w:rPr>
        <w:t>Elle a couvert 166 pays et territoires sur une période de 45 ans.</w:t>
      </w:r>
    </w:p>
    <w:p w14:paraId="4287AF61" w14:textId="5F379A35" w:rsidR="00DD3B80" w:rsidRDefault="004547F6" w:rsidP="00DD3B80">
      <w:pPr>
        <w:pStyle w:val="NormalWeb"/>
        <w:jc w:val="both"/>
        <w:rPr>
          <w:rFonts w:ascii="Myriad Pro" w:hAnsi="Myriad Pro"/>
          <w:sz w:val="22"/>
          <w:szCs w:val="22"/>
        </w:rPr>
      </w:pPr>
      <w:r>
        <w:rPr>
          <w:rFonts w:ascii="Myriad Pro" w:eastAsiaTheme="minorHAnsi" w:hAnsi="Myriad Pro" w:cstheme="minorBidi"/>
          <w:b/>
          <w:noProof/>
          <w:sz w:val="22"/>
          <w:szCs w:val="22"/>
          <w:lang w:eastAsia="en-US"/>
        </w:rPr>
        <w:t xml:space="preserve">Des </w:t>
      </w:r>
      <w:r w:rsidRPr="00D955A6">
        <w:rPr>
          <w:rFonts w:ascii="Myriad Pro" w:eastAsiaTheme="minorHAnsi" w:hAnsi="Myriad Pro" w:cstheme="minorBidi"/>
          <w:b/>
          <w:noProof/>
          <w:sz w:val="22"/>
          <w:szCs w:val="22"/>
          <w:lang w:eastAsia="en-US"/>
        </w:rPr>
        <w:t xml:space="preserve">coûts </w:t>
      </w:r>
      <w:r w:rsidR="00CC5B4E">
        <w:rPr>
          <w:rFonts w:ascii="Myriad Pro" w:eastAsiaTheme="minorHAnsi" w:hAnsi="Myriad Pro" w:cstheme="minorBidi"/>
          <w:b/>
          <w:noProof/>
          <w:sz w:val="22"/>
          <w:szCs w:val="22"/>
          <w:lang w:eastAsia="en-US"/>
        </w:rPr>
        <w:t xml:space="preserve">mal connus, </w:t>
      </w:r>
      <w:r>
        <w:rPr>
          <w:rFonts w:ascii="Myriad Pro" w:eastAsiaTheme="minorHAnsi" w:hAnsi="Myriad Pro" w:cstheme="minorBidi"/>
          <w:b/>
          <w:noProof/>
          <w:sz w:val="22"/>
          <w:szCs w:val="22"/>
          <w:lang w:eastAsia="en-US"/>
        </w:rPr>
        <w:t>sous-estimés et pourtant</w:t>
      </w:r>
      <w:r w:rsidRPr="00D955A6">
        <w:rPr>
          <w:rFonts w:ascii="Myriad Pro" w:eastAsiaTheme="minorHAnsi" w:hAnsi="Myriad Pro" w:cstheme="minorBidi"/>
          <w:b/>
          <w:noProof/>
          <w:sz w:val="22"/>
          <w:szCs w:val="22"/>
          <w:lang w:eastAsia="en-US"/>
        </w:rPr>
        <w:t xml:space="preserve"> croissants </w:t>
      </w:r>
      <w:r w:rsidR="009F1E92">
        <w:rPr>
          <w:rFonts w:ascii="Myriad Pro" w:eastAsiaTheme="minorHAnsi" w:hAnsi="Myriad Pro" w:cstheme="minorBidi"/>
          <w:b/>
          <w:noProof/>
          <w:sz w:val="22"/>
          <w:szCs w:val="22"/>
          <w:lang w:eastAsia="en-US"/>
        </w:rPr>
        <w:t>induits par l</w:t>
      </w:r>
      <w:r w:rsidRPr="00D955A6">
        <w:rPr>
          <w:rFonts w:ascii="Myriad Pro" w:eastAsiaTheme="minorHAnsi" w:hAnsi="Myriad Pro" w:cstheme="minorBidi"/>
          <w:b/>
          <w:noProof/>
          <w:sz w:val="22"/>
          <w:szCs w:val="22"/>
          <w:lang w:eastAsia="en-US"/>
        </w:rPr>
        <w:t>es</w:t>
      </w:r>
      <w:r w:rsidR="009F1E92">
        <w:rPr>
          <w:rFonts w:ascii="Myriad Pro" w:eastAsiaTheme="minorHAnsi" w:hAnsi="Myriad Pro" w:cstheme="minorBidi"/>
          <w:b/>
          <w:noProof/>
          <w:sz w:val="22"/>
          <w:szCs w:val="22"/>
          <w:lang w:eastAsia="en-US"/>
        </w:rPr>
        <w:t xml:space="preserve"> mou</w:t>
      </w:r>
      <w:r w:rsidR="00F36474">
        <w:rPr>
          <w:rFonts w:ascii="Myriad Pro" w:eastAsiaTheme="minorHAnsi" w:hAnsi="Myriad Pro" w:cstheme="minorBidi"/>
          <w:b/>
          <w:noProof/>
          <w:sz w:val="22"/>
          <w:szCs w:val="22"/>
          <w:lang w:eastAsia="en-US"/>
        </w:rPr>
        <w:t>s</w:t>
      </w:r>
      <w:r w:rsidR="009F1E92">
        <w:rPr>
          <w:rFonts w:ascii="Myriad Pro" w:eastAsiaTheme="minorHAnsi" w:hAnsi="Myriad Pro" w:cstheme="minorBidi"/>
          <w:b/>
          <w:noProof/>
          <w:sz w:val="22"/>
          <w:szCs w:val="22"/>
          <w:lang w:eastAsia="en-US"/>
        </w:rPr>
        <w:t>tiques</w:t>
      </w:r>
      <w:r w:rsidRPr="00D955A6">
        <w:rPr>
          <w:rFonts w:ascii="Myriad Pro" w:eastAsiaTheme="minorHAnsi" w:hAnsi="Myriad Pro" w:cstheme="minorBidi"/>
          <w:b/>
          <w:noProof/>
          <w:sz w:val="22"/>
          <w:szCs w:val="22"/>
          <w:lang w:eastAsia="en-US"/>
        </w:rPr>
        <w:t xml:space="preserve"> </w:t>
      </w:r>
      <w:r w:rsidRPr="00D955A6">
        <w:rPr>
          <w:rFonts w:ascii="Myriad Pro" w:eastAsiaTheme="minorHAnsi" w:hAnsi="Myriad Pro" w:cstheme="minorBidi"/>
          <w:b/>
          <w:i/>
          <w:noProof/>
          <w:sz w:val="22"/>
          <w:szCs w:val="22"/>
          <w:lang w:eastAsia="en-US"/>
        </w:rPr>
        <w:t>Aedes</w:t>
      </w:r>
      <w:r w:rsidRPr="00D955A6">
        <w:rPr>
          <w:rFonts w:ascii="Myriad Pro" w:eastAsiaTheme="minorHAnsi" w:hAnsi="Myriad Pro" w:cstheme="minorBidi"/>
          <w:b/>
          <w:noProof/>
          <w:sz w:val="22"/>
          <w:szCs w:val="22"/>
          <w:lang w:eastAsia="en-US"/>
        </w:rPr>
        <w:t xml:space="preserve"> et </w:t>
      </w:r>
      <w:r w:rsidR="009F1E92">
        <w:rPr>
          <w:rFonts w:ascii="Myriad Pro" w:eastAsiaTheme="minorHAnsi" w:hAnsi="Myriad Pro" w:cstheme="minorBidi"/>
          <w:b/>
          <w:noProof/>
          <w:sz w:val="22"/>
          <w:szCs w:val="22"/>
          <w:lang w:eastAsia="en-US"/>
        </w:rPr>
        <w:t>les virus qu’ils transmettent</w:t>
      </w:r>
    </w:p>
    <w:p w14:paraId="63C866D8" w14:textId="366B0410" w:rsidR="002844A2" w:rsidRPr="00DD3B80" w:rsidRDefault="008120FA" w:rsidP="00DD3B80">
      <w:pPr>
        <w:pStyle w:val="NormalWeb"/>
        <w:jc w:val="both"/>
        <w:rPr>
          <w:rFonts w:ascii="Myriad Pro" w:eastAsiaTheme="minorHAnsi" w:hAnsi="Myriad Pro" w:cstheme="minorBidi"/>
          <w:b/>
          <w:i/>
          <w:noProof/>
          <w:sz w:val="22"/>
          <w:szCs w:val="22"/>
          <w:lang w:eastAsia="en-US"/>
        </w:rPr>
      </w:pPr>
      <w:r>
        <w:rPr>
          <w:rFonts w:ascii="Myriad Pro" w:hAnsi="Myriad Pro"/>
          <w:sz w:val="22"/>
          <w:szCs w:val="22"/>
        </w:rPr>
        <w:t xml:space="preserve">Si le </w:t>
      </w:r>
      <w:r w:rsidRPr="005C0DF6">
        <w:rPr>
          <w:rFonts w:ascii="Myriad Pro" w:hAnsi="Myriad Pro"/>
          <w:sz w:val="22"/>
          <w:szCs w:val="22"/>
        </w:rPr>
        <w:t>total cumu</w:t>
      </w:r>
      <w:r>
        <w:rPr>
          <w:rFonts w:ascii="Myriad Pro" w:hAnsi="Myriad Pro"/>
          <w:sz w:val="22"/>
          <w:szCs w:val="22"/>
        </w:rPr>
        <w:t xml:space="preserve">lé </w:t>
      </w:r>
      <w:r w:rsidR="009F1E92">
        <w:rPr>
          <w:rFonts w:ascii="Myriad Pro" w:hAnsi="Myriad Pro"/>
          <w:sz w:val="22"/>
          <w:szCs w:val="22"/>
        </w:rPr>
        <w:t xml:space="preserve">des dépenses liées aux </w:t>
      </w:r>
      <w:r w:rsidR="009F1E92">
        <w:rPr>
          <w:rFonts w:ascii="Myriad Pro" w:hAnsi="Myriad Pro"/>
          <w:i/>
          <w:sz w:val="22"/>
          <w:szCs w:val="22"/>
        </w:rPr>
        <w:t xml:space="preserve">Aedes </w:t>
      </w:r>
      <w:r w:rsidR="009F1E92">
        <w:rPr>
          <w:rFonts w:ascii="Myriad Pro" w:hAnsi="Myriad Pro"/>
          <w:sz w:val="22"/>
          <w:szCs w:val="22"/>
        </w:rPr>
        <w:t xml:space="preserve">et aux maladies qu’ils transmettent </w:t>
      </w:r>
      <w:r>
        <w:rPr>
          <w:rFonts w:ascii="Myriad Pro" w:hAnsi="Myriad Pro"/>
          <w:sz w:val="22"/>
          <w:szCs w:val="22"/>
        </w:rPr>
        <w:t>s’élève</w:t>
      </w:r>
      <w:r w:rsidR="009F1E92">
        <w:rPr>
          <w:rFonts w:ascii="Myriad Pro" w:hAnsi="Myriad Pro"/>
          <w:sz w:val="22"/>
          <w:szCs w:val="22"/>
        </w:rPr>
        <w:t>, pour la période 1975-2020,</w:t>
      </w:r>
      <w:r>
        <w:rPr>
          <w:rFonts w:ascii="Myriad Pro" w:hAnsi="Myriad Pro"/>
          <w:sz w:val="22"/>
          <w:szCs w:val="22"/>
        </w:rPr>
        <w:t xml:space="preserve"> à </w:t>
      </w:r>
      <w:r w:rsidR="003A1929">
        <w:rPr>
          <w:rFonts w:ascii="Myriad Pro" w:hAnsi="Myriad Pro"/>
          <w:sz w:val="22"/>
          <w:szCs w:val="22"/>
        </w:rPr>
        <w:t xml:space="preserve">au moins </w:t>
      </w:r>
      <w:r w:rsidR="00CC5B4E">
        <w:rPr>
          <w:rFonts w:ascii="Myriad Pro" w:hAnsi="Myriad Pro"/>
          <w:sz w:val="22"/>
          <w:szCs w:val="22"/>
        </w:rPr>
        <w:t>94,7 milliards de dollars –</w:t>
      </w:r>
      <w:r w:rsidR="009F1E92">
        <w:rPr>
          <w:rFonts w:ascii="Myriad Pro" w:hAnsi="Myriad Pro"/>
          <w:sz w:val="22"/>
          <w:szCs w:val="22"/>
        </w:rPr>
        <w:t xml:space="preserve"> soit</w:t>
      </w:r>
      <w:r w:rsidRPr="005C0DF6">
        <w:rPr>
          <w:rFonts w:ascii="Myriad Pro" w:hAnsi="Myriad Pro"/>
          <w:sz w:val="22"/>
          <w:szCs w:val="22"/>
        </w:rPr>
        <w:t xml:space="preserve"> un coût annuel moyen de 3,29 milliards</w:t>
      </w:r>
      <w:r w:rsidR="009F1E92">
        <w:rPr>
          <w:rFonts w:ascii="Myriad Pro" w:hAnsi="Myriad Pro"/>
          <w:sz w:val="22"/>
          <w:szCs w:val="22"/>
        </w:rPr>
        <w:t xml:space="preserve"> avec</w:t>
      </w:r>
      <w:r w:rsidRPr="005C0DF6">
        <w:rPr>
          <w:rFonts w:ascii="Myriad Pro" w:hAnsi="Myriad Pro"/>
          <w:sz w:val="22"/>
          <w:szCs w:val="22"/>
        </w:rPr>
        <w:t xml:space="preserve"> un maximum de 20,9 milliards</w:t>
      </w:r>
      <w:r>
        <w:rPr>
          <w:rFonts w:ascii="Myriad Pro" w:hAnsi="Myriad Pro"/>
          <w:sz w:val="22"/>
          <w:szCs w:val="22"/>
        </w:rPr>
        <w:t xml:space="preserve"> </w:t>
      </w:r>
      <w:r w:rsidR="00CC5B4E">
        <w:rPr>
          <w:rFonts w:ascii="Myriad Pro" w:hAnsi="Myriad Pro"/>
          <w:sz w:val="22"/>
          <w:szCs w:val="22"/>
        </w:rPr>
        <w:t xml:space="preserve">en 2013 </w:t>
      </w:r>
      <w:r>
        <w:rPr>
          <w:rFonts w:ascii="Myriad Pro" w:hAnsi="Myriad Pro"/>
          <w:sz w:val="22"/>
          <w:szCs w:val="22"/>
        </w:rPr>
        <w:t>– ce chiffre reste</w:t>
      </w:r>
      <w:r w:rsidR="009F1E92">
        <w:rPr>
          <w:rFonts w:ascii="Myriad Pro" w:hAnsi="Myriad Pro"/>
          <w:sz w:val="22"/>
          <w:szCs w:val="22"/>
        </w:rPr>
        <w:t xml:space="preserve"> néanmoins</w:t>
      </w:r>
      <w:r w:rsidR="008D6FF9">
        <w:rPr>
          <w:rFonts w:ascii="Myriad Pro" w:hAnsi="Myriad Pro"/>
          <w:sz w:val="22"/>
          <w:szCs w:val="22"/>
        </w:rPr>
        <w:t xml:space="preserve"> largement</w:t>
      </w:r>
      <w:r>
        <w:rPr>
          <w:rFonts w:ascii="Myriad Pro" w:hAnsi="Myriad Pro"/>
          <w:sz w:val="22"/>
          <w:szCs w:val="22"/>
        </w:rPr>
        <w:t xml:space="preserve"> sous-estimé</w:t>
      </w:r>
      <w:r w:rsidR="00073BB8">
        <w:rPr>
          <w:rFonts w:ascii="Myriad Pro" w:hAnsi="Myriad Pro"/>
          <w:sz w:val="22"/>
          <w:szCs w:val="22"/>
        </w:rPr>
        <w:t xml:space="preserve">, </w:t>
      </w:r>
      <w:r w:rsidR="00DD3B80">
        <w:rPr>
          <w:rFonts w:ascii="Myriad Pro" w:hAnsi="Myriad Pro"/>
          <w:sz w:val="22"/>
          <w:szCs w:val="22"/>
        </w:rPr>
        <w:t>puisqu’étant</w:t>
      </w:r>
      <w:r w:rsidR="00073BB8">
        <w:rPr>
          <w:rFonts w:ascii="Myriad Pro" w:hAnsi="Myriad Pro"/>
          <w:sz w:val="22"/>
          <w:szCs w:val="22"/>
        </w:rPr>
        <w:t xml:space="preserve"> uniquement basé sur les coûts </w:t>
      </w:r>
      <w:r w:rsidR="00AC79B3">
        <w:rPr>
          <w:rFonts w:ascii="Myriad Pro" w:hAnsi="Myriad Pro"/>
          <w:sz w:val="22"/>
          <w:szCs w:val="22"/>
        </w:rPr>
        <w:t xml:space="preserve">réels </w:t>
      </w:r>
      <w:r w:rsidR="00073BB8">
        <w:rPr>
          <w:rFonts w:ascii="Myriad Pro" w:hAnsi="Myriad Pro"/>
          <w:sz w:val="22"/>
          <w:szCs w:val="22"/>
        </w:rPr>
        <w:t xml:space="preserve">rapportés dans la littérature </w:t>
      </w:r>
      <w:r w:rsidR="003C4571">
        <w:rPr>
          <w:rFonts w:ascii="Myriad Pro" w:hAnsi="Myriad Pro"/>
          <w:sz w:val="22"/>
          <w:szCs w:val="22"/>
        </w:rPr>
        <w:t>scientifique</w:t>
      </w:r>
      <w:r>
        <w:rPr>
          <w:rFonts w:ascii="Myriad Pro" w:hAnsi="Myriad Pro"/>
          <w:sz w:val="22"/>
          <w:szCs w:val="22"/>
        </w:rPr>
        <w:t xml:space="preserve">. </w:t>
      </w:r>
      <w:r w:rsidR="001567AC">
        <w:rPr>
          <w:rFonts w:ascii="Myriad Pro" w:hAnsi="Myriad Pro"/>
          <w:noProof/>
          <w:sz w:val="22"/>
          <w:szCs w:val="22"/>
        </w:rPr>
        <w:t>Les che</w:t>
      </w:r>
      <w:bookmarkStart w:id="0" w:name="_GoBack"/>
      <w:bookmarkEnd w:id="0"/>
      <w:r w:rsidR="001567AC">
        <w:rPr>
          <w:rFonts w:ascii="Myriad Pro" w:hAnsi="Myriad Pro"/>
          <w:noProof/>
          <w:sz w:val="22"/>
          <w:szCs w:val="22"/>
        </w:rPr>
        <w:t>rcheurs démontrent que</w:t>
      </w:r>
      <w:r w:rsidR="006B12A7">
        <w:rPr>
          <w:rFonts w:ascii="Myriad Pro" w:hAnsi="Myriad Pro"/>
          <w:noProof/>
          <w:sz w:val="22"/>
          <w:szCs w:val="22"/>
        </w:rPr>
        <w:t xml:space="preserve">, tout comme </w:t>
      </w:r>
      <w:r w:rsidR="009F1E92">
        <w:rPr>
          <w:rFonts w:ascii="Myriad Pro" w:hAnsi="Myriad Pro"/>
          <w:noProof/>
          <w:sz w:val="22"/>
          <w:szCs w:val="22"/>
        </w:rPr>
        <w:t xml:space="preserve">l’incidence de </w:t>
      </w:r>
      <w:r w:rsidR="006B12A7">
        <w:rPr>
          <w:rFonts w:ascii="Myriad Pro" w:hAnsi="Myriad Pro"/>
          <w:noProof/>
          <w:sz w:val="22"/>
          <w:szCs w:val="22"/>
        </w:rPr>
        <w:t>ces maladies</w:t>
      </w:r>
      <w:r w:rsidR="005C0DF6">
        <w:rPr>
          <w:rFonts w:ascii="Myriad Pro" w:hAnsi="Myriad Pro"/>
          <w:noProof/>
          <w:sz w:val="22"/>
          <w:szCs w:val="22"/>
        </w:rPr>
        <w:t xml:space="preserve">, </w:t>
      </w:r>
      <w:r w:rsidR="00AC79B3">
        <w:rPr>
          <w:rFonts w:ascii="Myriad Pro" w:hAnsi="Myriad Pro"/>
          <w:noProof/>
          <w:sz w:val="22"/>
          <w:szCs w:val="22"/>
        </w:rPr>
        <w:t>c</w:t>
      </w:r>
      <w:r w:rsidR="006B12A7">
        <w:rPr>
          <w:rFonts w:ascii="Myriad Pro" w:hAnsi="Myriad Pro"/>
          <w:noProof/>
          <w:sz w:val="22"/>
          <w:szCs w:val="22"/>
        </w:rPr>
        <w:t xml:space="preserve">es coûts </w:t>
      </w:r>
      <w:r w:rsidR="001567AC">
        <w:rPr>
          <w:rFonts w:ascii="Myriad Pro" w:hAnsi="Myriad Pro"/>
          <w:noProof/>
          <w:sz w:val="22"/>
          <w:szCs w:val="22"/>
        </w:rPr>
        <w:t xml:space="preserve">ont </w:t>
      </w:r>
      <w:r w:rsidR="005C0DF6">
        <w:rPr>
          <w:rFonts w:ascii="Myriad Pro" w:hAnsi="Myriad Pro"/>
          <w:noProof/>
          <w:sz w:val="22"/>
          <w:szCs w:val="22"/>
        </w:rPr>
        <w:t xml:space="preserve">massivement </w:t>
      </w:r>
      <w:r w:rsidR="001567AC">
        <w:rPr>
          <w:rFonts w:ascii="Myriad Pro" w:hAnsi="Myriad Pro"/>
          <w:noProof/>
          <w:sz w:val="22"/>
          <w:szCs w:val="22"/>
        </w:rPr>
        <w:t>augmenté au cours</w:t>
      </w:r>
      <w:r w:rsidR="005C0DF6">
        <w:rPr>
          <w:rFonts w:ascii="Myriad Pro" w:hAnsi="Myriad Pro"/>
          <w:noProof/>
          <w:sz w:val="22"/>
          <w:szCs w:val="22"/>
        </w:rPr>
        <w:t xml:space="preserve"> des trois dernières décennies et </w:t>
      </w:r>
      <w:r w:rsidR="008D6FF9">
        <w:rPr>
          <w:rFonts w:ascii="Myriad Pro" w:hAnsi="Myriad Pro"/>
          <w:noProof/>
          <w:sz w:val="22"/>
          <w:szCs w:val="22"/>
        </w:rPr>
        <w:t xml:space="preserve">qu’ils auraient été multipliés </w:t>
      </w:r>
      <w:r w:rsidR="001567AC">
        <w:rPr>
          <w:rFonts w:ascii="Myriad Pro" w:hAnsi="Myriad Pro"/>
          <w:noProof/>
          <w:sz w:val="22"/>
          <w:szCs w:val="22"/>
        </w:rPr>
        <w:t xml:space="preserve">par 14 au cours de la période </w:t>
      </w:r>
      <w:r w:rsidR="001567AC" w:rsidRPr="001567AC">
        <w:rPr>
          <w:rFonts w:ascii="Myriad Pro" w:hAnsi="Myriad Pro"/>
          <w:sz w:val="22"/>
          <w:szCs w:val="22"/>
        </w:rPr>
        <w:t>qui a suivi l'émergence du Zika et du chikungunya</w:t>
      </w:r>
      <w:r w:rsidR="005C0DF6">
        <w:rPr>
          <w:rFonts w:ascii="Myriad Pro" w:hAnsi="Myriad Pro"/>
          <w:sz w:val="22"/>
          <w:szCs w:val="22"/>
        </w:rPr>
        <w:t xml:space="preserve">. </w:t>
      </w:r>
      <w:r w:rsidR="00CC5B4E">
        <w:rPr>
          <w:rFonts w:ascii="Myriad Pro" w:hAnsi="Myriad Pro"/>
          <w:sz w:val="22"/>
          <w:szCs w:val="22"/>
        </w:rPr>
        <w:t>L</w:t>
      </w:r>
      <w:r w:rsidR="003A0C2E">
        <w:rPr>
          <w:rFonts w:ascii="Myriad Pro" w:hAnsi="Myriad Pro"/>
          <w:sz w:val="22"/>
          <w:szCs w:val="22"/>
        </w:rPr>
        <w:t>e</w:t>
      </w:r>
      <w:r w:rsidR="003A0C2E" w:rsidRPr="003A0C2E">
        <w:rPr>
          <w:rFonts w:ascii="Myriad Pro" w:hAnsi="Myriad Pro"/>
          <w:sz w:val="22"/>
          <w:szCs w:val="22"/>
        </w:rPr>
        <w:t xml:space="preserve">s coûts rapportés </w:t>
      </w:r>
      <w:r w:rsidR="009F1E92">
        <w:rPr>
          <w:rFonts w:ascii="Myriad Pro" w:hAnsi="Myriad Pro"/>
          <w:sz w:val="22"/>
          <w:szCs w:val="22"/>
        </w:rPr>
        <w:t>sont</w:t>
      </w:r>
      <w:r w:rsidR="009F1E92" w:rsidRPr="003A0C2E">
        <w:rPr>
          <w:rFonts w:ascii="Myriad Pro" w:hAnsi="Myriad Pro"/>
          <w:sz w:val="22"/>
          <w:szCs w:val="22"/>
        </w:rPr>
        <w:t xml:space="preserve"> </w:t>
      </w:r>
      <w:r w:rsidR="003A0C2E" w:rsidRPr="003A0C2E">
        <w:rPr>
          <w:rFonts w:ascii="Myriad Pro" w:hAnsi="Myriad Pro"/>
          <w:sz w:val="22"/>
          <w:szCs w:val="22"/>
        </w:rPr>
        <w:t xml:space="preserve">principalement </w:t>
      </w:r>
      <w:r w:rsidR="00CC5B4E">
        <w:rPr>
          <w:rFonts w:ascii="Myriad Pro" w:hAnsi="Myriad Pro"/>
          <w:sz w:val="22"/>
          <w:szCs w:val="22"/>
        </w:rPr>
        <w:t>liés aux</w:t>
      </w:r>
      <w:r w:rsidR="003A0C2E" w:rsidRPr="003A0C2E">
        <w:rPr>
          <w:rFonts w:ascii="Myriad Pro" w:hAnsi="Myriad Pro"/>
          <w:sz w:val="22"/>
          <w:szCs w:val="22"/>
        </w:rPr>
        <w:t xml:space="preserve"> dépenses médicales directes </w:t>
      </w:r>
      <w:r w:rsidR="009F1E92">
        <w:rPr>
          <w:rFonts w:ascii="Myriad Pro" w:hAnsi="Myriad Pro"/>
          <w:sz w:val="22"/>
          <w:szCs w:val="22"/>
        </w:rPr>
        <w:t>dues à</w:t>
      </w:r>
      <w:r w:rsidR="009F1E92" w:rsidRPr="003A0C2E">
        <w:rPr>
          <w:rFonts w:ascii="Myriad Pro" w:hAnsi="Myriad Pro"/>
          <w:sz w:val="22"/>
          <w:szCs w:val="22"/>
        </w:rPr>
        <w:t xml:space="preserve"> </w:t>
      </w:r>
      <w:r w:rsidR="003A0C2E" w:rsidRPr="003A0C2E">
        <w:rPr>
          <w:rFonts w:ascii="Myriad Pro" w:hAnsi="Myriad Pro"/>
          <w:sz w:val="22"/>
          <w:szCs w:val="22"/>
        </w:rPr>
        <w:t xml:space="preserve">la dengue transmise par </w:t>
      </w:r>
      <w:r w:rsidR="003A0C2E" w:rsidRPr="003A0C2E">
        <w:rPr>
          <w:rFonts w:ascii="Myriad Pro" w:eastAsiaTheme="minorHAnsi" w:hAnsi="Myriad Pro" w:cstheme="minorBidi"/>
          <w:i/>
          <w:noProof/>
          <w:sz w:val="22"/>
          <w:szCs w:val="22"/>
          <w:lang w:eastAsia="en-US"/>
        </w:rPr>
        <w:t>Aedes aegypti</w:t>
      </w:r>
      <w:r w:rsidR="003A0C2E" w:rsidRPr="003A0C2E">
        <w:rPr>
          <w:rFonts w:ascii="Myriad Pro" w:hAnsi="Myriad Pro"/>
          <w:sz w:val="22"/>
          <w:szCs w:val="22"/>
        </w:rPr>
        <w:t xml:space="preserve">, suivies par </w:t>
      </w:r>
      <w:r w:rsidR="000A1370">
        <w:rPr>
          <w:rFonts w:ascii="Myriad Pro" w:hAnsi="Myriad Pro"/>
          <w:sz w:val="22"/>
          <w:szCs w:val="22"/>
        </w:rPr>
        <w:t>les pertes et l</w:t>
      </w:r>
      <w:r w:rsidR="003A0C2E" w:rsidRPr="003A0C2E">
        <w:rPr>
          <w:rFonts w:ascii="Myriad Pro" w:hAnsi="Myriad Pro"/>
          <w:sz w:val="22"/>
          <w:szCs w:val="22"/>
        </w:rPr>
        <w:t>es coûts indirects</w:t>
      </w:r>
      <w:r w:rsidR="000A1370">
        <w:rPr>
          <w:rFonts w:ascii="Myriad Pro" w:hAnsi="Myriad Pro"/>
          <w:sz w:val="22"/>
          <w:szCs w:val="22"/>
        </w:rPr>
        <w:t xml:space="preserve">, </w:t>
      </w:r>
      <w:r w:rsidR="00CC5B4E">
        <w:rPr>
          <w:rFonts w:ascii="Myriad Pro" w:hAnsi="Myriad Pro"/>
          <w:sz w:val="22"/>
          <w:szCs w:val="22"/>
        </w:rPr>
        <w:t>qui s</w:t>
      </w:r>
      <w:r w:rsidR="00CC2532">
        <w:rPr>
          <w:rFonts w:ascii="Myriad Pro" w:hAnsi="Myriad Pro"/>
          <w:sz w:val="22"/>
          <w:szCs w:val="22"/>
        </w:rPr>
        <w:t>o</w:t>
      </w:r>
      <w:r w:rsidR="00CC5B4E">
        <w:rPr>
          <w:rFonts w:ascii="Myriad Pro" w:hAnsi="Myriad Pro"/>
          <w:sz w:val="22"/>
          <w:szCs w:val="22"/>
        </w:rPr>
        <w:t xml:space="preserve">nt eux </w:t>
      </w:r>
      <w:r w:rsidR="000A1370">
        <w:rPr>
          <w:rFonts w:ascii="Myriad Pro" w:hAnsi="Myriad Pro"/>
          <w:sz w:val="22"/>
          <w:szCs w:val="22"/>
        </w:rPr>
        <w:t xml:space="preserve">largement absorbés par les individus ou la communauté. </w:t>
      </w:r>
      <w:r w:rsidR="00CC5B4E">
        <w:rPr>
          <w:rFonts w:ascii="Myriad Pro" w:hAnsi="Myriad Pro"/>
          <w:sz w:val="22"/>
          <w:szCs w:val="22"/>
        </w:rPr>
        <w:t>L’étude indique par ailleurs</w:t>
      </w:r>
      <w:r w:rsidR="00CC2532">
        <w:rPr>
          <w:rFonts w:ascii="Myriad Pro" w:hAnsi="Myriad Pro"/>
          <w:sz w:val="22"/>
          <w:szCs w:val="22"/>
        </w:rPr>
        <w:t xml:space="preserve"> que</w:t>
      </w:r>
      <w:r w:rsidR="00CC5B4E">
        <w:rPr>
          <w:rFonts w:ascii="Myriad Pro" w:hAnsi="Myriad Pro"/>
          <w:sz w:val="22"/>
          <w:szCs w:val="22"/>
        </w:rPr>
        <w:t xml:space="preserve"> </w:t>
      </w:r>
      <w:r w:rsidR="00CC5B4E" w:rsidRPr="003A0C2E">
        <w:rPr>
          <w:rFonts w:ascii="Myriad Pro" w:hAnsi="Myriad Pro"/>
          <w:sz w:val="22"/>
          <w:szCs w:val="22"/>
        </w:rPr>
        <w:t>les coûts sont les plus élev</w:t>
      </w:r>
      <w:r w:rsidR="00CC5B4E">
        <w:rPr>
          <w:rFonts w:ascii="Myriad Pro" w:hAnsi="Myriad Pro"/>
          <w:sz w:val="22"/>
          <w:szCs w:val="22"/>
        </w:rPr>
        <w:t>és</w:t>
      </w:r>
      <w:r w:rsidR="00CC5B4E" w:rsidRPr="003A0C2E">
        <w:rPr>
          <w:rFonts w:ascii="Myriad Pro" w:hAnsi="Myriad Pro"/>
          <w:sz w:val="22"/>
          <w:szCs w:val="22"/>
        </w:rPr>
        <w:t xml:space="preserve"> dans les zones où les deux espèces </w:t>
      </w:r>
      <w:r w:rsidR="00CC2532" w:rsidRPr="00986193">
        <w:rPr>
          <w:rFonts w:ascii="Myriad Pro" w:hAnsi="Myriad Pro"/>
          <w:i/>
          <w:sz w:val="22"/>
          <w:szCs w:val="22"/>
        </w:rPr>
        <w:t>d’</w:t>
      </w:r>
      <w:r w:rsidR="00CC2532">
        <w:rPr>
          <w:rFonts w:ascii="Myriad Pro" w:hAnsi="Myriad Pro"/>
          <w:i/>
          <w:sz w:val="22"/>
          <w:szCs w:val="22"/>
        </w:rPr>
        <w:t xml:space="preserve">Aedes </w:t>
      </w:r>
      <w:r w:rsidR="00CC5B4E" w:rsidRPr="00986193">
        <w:rPr>
          <w:rFonts w:ascii="Myriad Pro" w:hAnsi="Myriad Pro"/>
          <w:i/>
          <w:sz w:val="22"/>
          <w:szCs w:val="22"/>
        </w:rPr>
        <w:t>sont</w:t>
      </w:r>
      <w:r w:rsidR="00CC5B4E" w:rsidRPr="003A0C2E">
        <w:rPr>
          <w:rFonts w:ascii="Myriad Pro" w:hAnsi="Myriad Pro"/>
          <w:sz w:val="22"/>
          <w:szCs w:val="22"/>
        </w:rPr>
        <w:t xml:space="preserve"> présentes ensemble, </w:t>
      </w:r>
      <w:r w:rsidR="00CC5B4E">
        <w:rPr>
          <w:rFonts w:ascii="Myriad Pro" w:hAnsi="Myriad Pro"/>
          <w:sz w:val="22"/>
          <w:szCs w:val="22"/>
        </w:rPr>
        <w:t xml:space="preserve">ce qui est le cas des Amériques et de l’Asie, </w:t>
      </w:r>
      <w:r w:rsidR="00CC5B4E" w:rsidRPr="003A0C2E">
        <w:rPr>
          <w:rFonts w:ascii="Myriad Pro" w:hAnsi="Myriad Pro"/>
          <w:sz w:val="22"/>
          <w:szCs w:val="22"/>
        </w:rPr>
        <w:t xml:space="preserve">plutôt que dans les zones où l'on trouve uniquement </w:t>
      </w:r>
      <w:r w:rsidR="00CC5B4E" w:rsidRPr="003A0C2E">
        <w:rPr>
          <w:rFonts w:ascii="Myriad Pro" w:hAnsi="Myriad Pro"/>
          <w:i/>
          <w:noProof/>
          <w:sz w:val="22"/>
          <w:szCs w:val="22"/>
        </w:rPr>
        <w:t>Aedes aegypti</w:t>
      </w:r>
      <w:r w:rsidR="00CC5B4E" w:rsidRPr="00834BB2">
        <w:rPr>
          <w:rFonts w:ascii="Myriad Pro" w:hAnsi="Myriad Pro"/>
          <w:b/>
          <w:noProof/>
          <w:sz w:val="22"/>
          <w:szCs w:val="22"/>
        </w:rPr>
        <w:t xml:space="preserve"> </w:t>
      </w:r>
      <w:r w:rsidR="00CC5B4E" w:rsidRPr="003A0C2E">
        <w:rPr>
          <w:rFonts w:ascii="Myriad Pro" w:hAnsi="Myriad Pro"/>
          <w:sz w:val="22"/>
          <w:szCs w:val="22"/>
        </w:rPr>
        <w:t xml:space="preserve">ou </w:t>
      </w:r>
      <w:r w:rsidR="00CC5B4E" w:rsidRPr="003A0C2E">
        <w:rPr>
          <w:rFonts w:ascii="Myriad Pro" w:hAnsi="Myriad Pro"/>
          <w:i/>
          <w:noProof/>
          <w:sz w:val="22"/>
          <w:szCs w:val="22"/>
        </w:rPr>
        <w:t>Aedes albopictus.</w:t>
      </w:r>
      <w:r w:rsidR="00CC5B4E">
        <w:rPr>
          <w:rFonts w:ascii="Myriad Pro" w:hAnsi="Myriad Pro"/>
          <w:b/>
          <w:i/>
          <w:noProof/>
          <w:sz w:val="22"/>
          <w:szCs w:val="22"/>
        </w:rPr>
        <w:t xml:space="preserve"> </w:t>
      </w:r>
    </w:p>
    <w:p w14:paraId="15793C37" w14:textId="77777777" w:rsidR="00F77531" w:rsidRDefault="00F77531">
      <w:pPr>
        <w:spacing w:after="160" w:line="259" w:lineRule="auto"/>
        <w:rPr>
          <w:rFonts w:ascii="Myriad Pro" w:eastAsia="Times New Roman" w:hAnsi="Myriad Pro" w:cs="Times New Roman"/>
          <w:b/>
          <w:noProof/>
          <w:sz w:val="22"/>
          <w:szCs w:val="22"/>
          <w:lang w:eastAsia="fr-FR"/>
        </w:rPr>
      </w:pPr>
      <w:r>
        <w:rPr>
          <w:rFonts w:ascii="Myriad Pro" w:hAnsi="Myriad Pro"/>
          <w:b/>
          <w:noProof/>
          <w:sz w:val="22"/>
          <w:szCs w:val="22"/>
        </w:rPr>
        <w:br w:type="page"/>
      </w:r>
    </w:p>
    <w:p w14:paraId="6A6FC3CB" w14:textId="14D39EA1" w:rsidR="0013369C" w:rsidRDefault="0013369C" w:rsidP="008D6FF9">
      <w:pPr>
        <w:pStyle w:val="NormalWeb"/>
        <w:jc w:val="both"/>
        <w:rPr>
          <w:rFonts w:ascii="Myriad Pro" w:hAnsi="Myriad Pro"/>
          <w:b/>
          <w:noProof/>
          <w:sz w:val="22"/>
          <w:szCs w:val="22"/>
        </w:rPr>
      </w:pPr>
      <w:r>
        <w:rPr>
          <w:rFonts w:ascii="Myriad Pro" w:hAnsi="Myriad Pro"/>
          <w:b/>
          <w:noProof/>
          <w:sz w:val="22"/>
          <w:szCs w:val="22"/>
        </w:rPr>
        <w:lastRenderedPageBreak/>
        <w:t>La lutte anti vectorielle sous financée</w:t>
      </w:r>
    </w:p>
    <w:p w14:paraId="4D50ECC2" w14:textId="4F698628" w:rsidR="00592D73" w:rsidRPr="0013369C" w:rsidRDefault="00592D73" w:rsidP="008D6FF9">
      <w:pPr>
        <w:pStyle w:val="NormalWeb"/>
        <w:jc w:val="both"/>
        <w:rPr>
          <w:rFonts w:ascii="Myriad Pro" w:eastAsiaTheme="minorHAnsi" w:hAnsi="Myriad Pro" w:cstheme="minorBidi"/>
          <w:b/>
          <w:noProof/>
          <w:sz w:val="22"/>
          <w:szCs w:val="22"/>
          <w:lang w:eastAsia="en-US"/>
        </w:rPr>
      </w:pPr>
      <w:r>
        <w:rPr>
          <w:rFonts w:ascii="Myriad Pro" w:hAnsi="Myriad Pro"/>
          <w:sz w:val="22"/>
          <w:szCs w:val="22"/>
        </w:rPr>
        <w:t>Alors que</w:t>
      </w:r>
      <w:r w:rsidR="00957373">
        <w:rPr>
          <w:rFonts w:ascii="Myriad Pro" w:hAnsi="Myriad Pro"/>
          <w:sz w:val="22"/>
          <w:szCs w:val="22"/>
        </w:rPr>
        <w:t xml:space="preserve"> les coûts liés aux pertes et </w:t>
      </w:r>
      <w:r w:rsidR="005B4C1C">
        <w:rPr>
          <w:rFonts w:ascii="Myriad Pro" w:hAnsi="Myriad Pro"/>
          <w:sz w:val="22"/>
          <w:szCs w:val="22"/>
        </w:rPr>
        <w:t xml:space="preserve">aux </w:t>
      </w:r>
      <w:r w:rsidR="00957373">
        <w:rPr>
          <w:rFonts w:ascii="Myriad Pro" w:hAnsi="Myriad Pro"/>
          <w:sz w:val="22"/>
          <w:szCs w:val="22"/>
        </w:rPr>
        <w:t>dommages induits par ces</w:t>
      </w:r>
      <w:r w:rsidR="00CC2532">
        <w:rPr>
          <w:rFonts w:ascii="Myriad Pro" w:hAnsi="Myriad Pro"/>
          <w:sz w:val="22"/>
          <w:szCs w:val="22"/>
        </w:rPr>
        <w:t xml:space="preserve"> moustiques</w:t>
      </w:r>
      <w:r w:rsidR="005B4C1C">
        <w:rPr>
          <w:rFonts w:ascii="Myriad Pro" w:hAnsi="Myriad Pro"/>
          <w:sz w:val="22"/>
          <w:szCs w:val="22"/>
        </w:rPr>
        <w:t xml:space="preserve"> et ces maladies</w:t>
      </w:r>
      <w:r>
        <w:rPr>
          <w:rFonts w:ascii="Myriad Pro" w:hAnsi="Myriad Pro"/>
          <w:sz w:val="22"/>
          <w:szCs w:val="22"/>
        </w:rPr>
        <w:t xml:space="preserve"> ont </w:t>
      </w:r>
      <w:r w:rsidR="00CC2532">
        <w:rPr>
          <w:rFonts w:ascii="Myriad Pro" w:hAnsi="Myriad Pro"/>
          <w:sz w:val="22"/>
          <w:szCs w:val="22"/>
        </w:rPr>
        <w:t xml:space="preserve">considérablement </w:t>
      </w:r>
      <w:r>
        <w:rPr>
          <w:rFonts w:ascii="Myriad Pro" w:hAnsi="Myriad Pro"/>
          <w:sz w:val="22"/>
          <w:szCs w:val="22"/>
        </w:rPr>
        <w:t>augment</w:t>
      </w:r>
      <w:r w:rsidR="00CC2532">
        <w:rPr>
          <w:rFonts w:ascii="Myriad Pro" w:hAnsi="Myriad Pro"/>
          <w:sz w:val="22"/>
          <w:szCs w:val="22"/>
        </w:rPr>
        <w:t>é</w:t>
      </w:r>
      <w:r w:rsidR="00AC79B3">
        <w:rPr>
          <w:rFonts w:ascii="Myriad Pro" w:hAnsi="Myriad Pro"/>
          <w:sz w:val="22"/>
          <w:szCs w:val="22"/>
        </w:rPr>
        <w:t xml:space="preserve"> au cours des dernières décennies</w:t>
      </w:r>
      <w:r>
        <w:rPr>
          <w:rFonts w:ascii="Myriad Pro" w:hAnsi="Myriad Pro"/>
          <w:sz w:val="22"/>
          <w:szCs w:val="22"/>
        </w:rPr>
        <w:t xml:space="preserve">, les investissements </w:t>
      </w:r>
      <w:r w:rsidR="00CA4048">
        <w:rPr>
          <w:rFonts w:ascii="Myriad Pro" w:hAnsi="Myriad Pro"/>
          <w:sz w:val="22"/>
          <w:szCs w:val="22"/>
        </w:rPr>
        <w:t>dédiés à la prévention et à la gestion de ce risque sanitaire émergent</w:t>
      </w:r>
      <w:r>
        <w:rPr>
          <w:rFonts w:ascii="Myriad Pro" w:hAnsi="Myriad Pro"/>
          <w:sz w:val="22"/>
          <w:szCs w:val="22"/>
        </w:rPr>
        <w:t xml:space="preserve"> (</w:t>
      </w:r>
      <w:r w:rsidRPr="005C0DF6">
        <w:rPr>
          <w:rFonts w:ascii="Myriad Pro" w:hAnsi="Myriad Pro"/>
          <w:sz w:val="22"/>
          <w:szCs w:val="22"/>
        </w:rPr>
        <w:t>surveillance, lutte antivectorielle et autres actions préventives, notamment l</w:t>
      </w:r>
      <w:r w:rsidR="00CA4048">
        <w:rPr>
          <w:rFonts w:ascii="Myriad Pro" w:hAnsi="Myriad Pro"/>
          <w:sz w:val="22"/>
          <w:szCs w:val="22"/>
        </w:rPr>
        <w:t>e développement de</w:t>
      </w:r>
      <w:r w:rsidRPr="005C0DF6">
        <w:rPr>
          <w:rFonts w:ascii="Myriad Pro" w:hAnsi="Myriad Pro"/>
          <w:sz w:val="22"/>
          <w:szCs w:val="22"/>
        </w:rPr>
        <w:t xml:space="preserve"> vacci</w:t>
      </w:r>
      <w:r w:rsidR="00CA4048">
        <w:rPr>
          <w:rFonts w:ascii="Myriad Pro" w:hAnsi="Myriad Pro"/>
          <w:sz w:val="22"/>
          <w:szCs w:val="22"/>
        </w:rPr>
        <w:t>ns</w:t>
      </w:r>
      <w:r>
        <w:rPr>
          <w:rFonts w:ascii="Myriad Pro" w:hAnsi="Myriad Pro"/>
          <w:sz w:val="22"/>
          <w:szCs w:val="22"/>
        </w:rPr>
        <w:t xml:space="preserve">) ont quant à eux </w:t>
      </w:r>
      <w:r w:rsidR="005B4C1C">
        <w:rPr>
          <w:rFonts w:ascii="Myriad Pro" w:hAnsi="Myriad Pro"/>
          <w:sz w:val="22"/>
          <w:szCs w:val="22"/>
        </w:rPr>
        <w:t xml:space="preserve">très peu </w:t>
      </w:r>
      <w:r>
        <w:rPr>
          <w:rFonts w:ascii="Myriad Pro" w:hAnsi="Myriad Pro"/>
          <w:sz w:val="22"/>
          <w:szCs w:val="22"/>
        </w:rPr>
        <w:t>évolué</w:t>
      </w:r>
      <w:r w:rsidR="005B4C1C">
        <w:rPr>
          <w:rFonts w:ascii="Myriad Pro" w:hAnsi="Myriad Pro"/>
          <w:sz w:val="22"/>
          <w:szCs w:val="22"/>
        </w:rPr>
        <w:t xml:space="preserve"> </w:t>
      </w:r>
      <w:r w:rsidR="00AC79B3">
        <w:rPr>
          <w:rFonts w:ascii="Myriad Pro" w:hAnsi="Myriad Pro"/>
          <w:sz w:val="22"/>
          <w:szCs w:val="22"/>
        </w:rPr>
        <w:t>sur la même</w:t>
      </w:r>
      <w:r w:rsidR="005B4C1C">
        <w:rPr>
          <w:rFonts w:ascii="Myriad Pro" w:hAnsi="Myriad Pro"/>
          <w:sz w:val="22"/>
          <w:szCs w:val="22"/>
        </w:rPr>
        <w:t xml:space="preserve"> période. Ils</w:t>
      </w:r>
      <w:r>
        <w:rPr>
          <w:rFonts w:ascii="Myriad Pro" w:hAnsi="Myriad Pro"/>
          <w:sz w:val="22"/>
          <w:szCs w:val="22"/>
        </w:rPr>
        <w:t xml:space="preserve"> sont </w:t>
      </w:r>
      <w:r w:rsidR="00957373">
        <w:rPr>
          <w:rFonts w:ascii="Myriad Pro" w:hAnsi="Myriad Pro"/>
          <w:sz w:val="22"/>
          <w:szCs w:val="22"/>
        </w:rPr>
        <w:t xml:space="preserve">restés </w:t>
      </w:r>
      <w:r>
        <w:rPr>
          <w:rFonts w:ascii="Myriad Pro" w:hAnsi="Myriad Pro"/>
          <w:sz w:val="22"/>
          <w:szCs w:val="22"/>
        </w:rPr>
        <w:t xml:space="preserve">constamment inférieurs aux coûts des dommages, jusqu’à dix fois moins élevés. Les auteurs de l’étude </w:t>
      </w:r>
      <w:r w:rsidR="00CC7D83">
        <w:rPr>
          <w:rFonts w:ascii="Myriad Pro" w:hAnsi="Myriad Pro"/>
          <w:sz w:val="22"/>
          <w:szCs w:val="22"/>
        </w:rPr>
        <w:t xml:space="preserve">mettent </w:t>
      </w:r>
      <w:r>
        <w:rPr>
          <w:rFonts w:ascii="Myriad Pro" w:hAnsi="Myriad Pro"/>
          <w:sz w:val="22"/>
          <w:szCs w:val="22"/>
        </w:rPr>
        <w:t>ainsi en évidence le sous-financement chronique de la lutte anti-vectorielle</w:t>
      </w:r>
      <w:r w:rsidR="00AC79B3">
        <w:rPr>
          <w:rFonts w:ascii="Myriad Pro" w:hAnsi="Myriad Pro"/>
          <w:sz w:val="22"/>
          <w:szCs w:val="22"/>
        </w:rPr>
        <w:t>, identifié</w:t>
      </w:r>
      <w:r>
        <w:rPr>
          <w:rFonts w:ascii="Myriad Pro" w:hAnsi="Myriad Pro"/>
          <w:sz w:val="22"/>
          <w:szCs w:val="22"/>
        </w:rPr>
        <w:t xml:space="preserve"> comme </w:t>
      </w:r>
      <w:r w:rsidR="00AC79B3">
        <w:rPr>
          <w:rFonts w:ascii="Myriad Pro" w:hAnsi="Myriad Pro"/>
          <w:sz w:val="22"/>
          <w:szCs w:val="22"/>
        </w:rPr>
        <w:t xml:space="preserve">un </w:t>
      </w:r>
      <w:r>
        <w:rPr>
          <w:rFonts w:ascii="Myriad Pro" w:hAnsi="Myriad Pro"/>
          <w:sz w:val="22"/>
          <w:szCs w:val="22"/>
        </w:rPr>
        <w:t xml:space="preserve">facteur </w:t>
      </w:r>
      <w:r w:rsidR="00AC79B3">
        <w:rPr>
          <w:rFonts w:ascii="Myriad Pro" w:hAnsi="Myriad Pro"/>
          <w:sz w:val="22"/>
          <w:szCs w:val="22"/>
        </w:rPr>
        <w:t>favorisant l</w:t>
      </w:r>
      <w:r w:rsidR="00CA4048">
        <w:rPr>
          <w:rFonts w:ascii="Myriad Pro" w:hAnsi="Myriad Pro"/>
          <w:sz w:val="22"/>
          <w:szCs w:val="22"/>
        </w:rPr>
        <w:t>a dispersion</w:t>
      </w:r>
      <w:r w:rsidR="006939A5">
        <w:rPr>
          <w:rFonts w:ascii="Myriad Pro" w:hAnsi="Myriad Pro"/>
          <w:sz w:val="22"/>
          <w:szCs w:val="22"/>
        </w:rPr>
        <w:t xml:space="preserve"> </w:t>
      </w:r>
      <w:r w:rsidR="00CA4048">
        <w:rPr>
          <w:rFonts w:ascii="Myriad Pro" w:hAnsi="Myriad Pro"/>
          <w:sz w:val="22"/>
          <w:szCs w:val="22"/>
        </w:rPr>
        <w:t>des</w:t>
      </w:r>
      <w:r>
        <w:rPr>
          <w:rFonts w:ascii="Myriad Pro" w:hAnsi="Myriad Pro"/>
          <w:sz w:val="22"/>
          <w:szCs w:val="22"/>
        </w:rPr>
        <w:t xml:space="preserve"> </w:t>
      </w:r>
      <w:r w:rsidRPr="002C6EC2">
        <w:rPr>
          <w:rFonts w:ascii="Myriad Pro" w:hAnsi="Myriad Pro"/>
          <w:i/>
          <w:sz w:val="22"/>
          <w:szCs w:val="22"/>
        </w:rPr>
        <w:t>Aedes</w:t>
      </w:r>
      <w:r w:rsidR="00CA4048">
        <w:rPr>
          <w:rFonts w:ascii="Myriad Pro" w:hAnsi="Myriad Pro"/>
          <w:sz w:val="22"/>
          <w:szCs w:val="22"/>
        </w:rPr>
        <w:t xml:space="preserve"> et </w:t>
      </w:r>
      <w:r w:rsidR="006939A5">
        <w:rPr>
          <w:rFonts w:ascii="Myriad Pro" w:hAnsi="Myriad Pro"/>
          <w:sz w:val="22"/>
          <w:szCs w:val="22"/>
        </w:rPr>
        <w:t>la transmission des maladies</w:t>
      </w:r>
      <w:r>
        <w:rPr>
          <w:rFonts w:ascii="Myriad Pro" w:hAnsi="Myriad Pro"/>
          <w:sz w:val="22"/>
          <w:szCs w:val="22"/>
        </w:rPr>
        <w:t xml:space="preserve">. Ils suggèrent que </w:t>
      </w:r>
      <w:r w:rsidR="00CA4048">
        <w:rPr>
          <w:rFonts w:ascii="Myriad Pro" w:hAnsi="Myriad Pro"/>
          <w:sz w:val="22"/>
          <w:szCs w:val="22"/>
        </w:rPr>
        <w:t xml:space="preserve">des investissements dédiés au développement et </w:t>
      </w:r>
      <w:r w:rsidRPr="00DA3BC9">
        <w:rPr>
          <w:rFonts w:ascii="Myriad Pro" w:hAnsi="Myriad Pro"/>
          <w:sz w:val="22"/>
          <w:szCs w:val="22"/>
        </w:rPr>
        <w:t xml:space="preserve">à </w:t>
      </w:r>
      <w:r w:rsidR="00CA4048">
        <w:rPr>
          <w:rFonts w:ascii="Myriad Pro" w:hAnsi="Myriad Pro"/>
          <w:sz w:val="22"/>
          <w:szCs w:val="22"/>
        </w:rPr>
        <w:t>la mise en œuvre d’</w:t>
      </w:r>
      <w:r w:rsidRPr="00DA3BC9">
        <w:rPr>
          <w:rFonts w:ascii="Myriad Pro" w:hAnsi="Myriad Pro"/>
          <w:sz w:val="22"/>
          <w:szCs w:val="22"/>
        </w:rPr>
        <w:t xml:space="preserve">actions </w:t>
      </w:r>
      <w:r w:rsidR="00CA4048">
        <w:rPr>
          <w:rFonts w:ascii="Myriad Pro" w:hAnsi="Myriad Pro"/>
          <w:sz w:val="22"/>
          <w:szCs w:val="22"/>
        </w:rPr>
        <w:t xml:space="preserve">de prévention </w:t>
      </w:r>
      <w:r w:rsidRPr="00DA3BC9">
        <w:rPr>
          <w:rFonts w:ascii="Myriad Pro" w:hAnsi="Myriad Pro"/>
          <w:sz w:val="22"/>
          <w:szCs w:val="22"/>
        </w:rPr>
        <w:t xml:space="preserve">efficaces </w:t>
      </w:r>
      <w:r w:rsidR="00CA4048">
        <w:rPr>
          <w:rFonts w:ascii="Myriad Pro" w:hAnsi="Myriad Pro"/>
          <w:sz w:val="22"/>
          <w:szCs w:val="22"/>
        </w:rPr>
        <w:t xml:space="preserve">et durables doivent permettre </w:t>
      </w:r>
      <w:r w:rsidR="006939A5">
        <w:rPr>
          <w:rFonts w:ascii="Myriad Pro" w:hAnsi="Myriad Pro"/>
          <w:sz w:val="22"/>
          <w:szCs w:val="22"/>
        </w:rPr>
        <w:t>de</w:t>
      </w:r>
      <w:r>
        <w:rPr>
          <w:rFonts w:ascii="Myriad Pro" w:hAnsi="Myriad Pro"/>
          <w:sz w:val="22"/>
          <w:szCs w:val="22"/>
        </w:rPr>
        <w:t xml:space="preserve"> </w:t>
      </w:r>
      <w:r w:rsidRPr="00DA3BC9">
        <w:rPr>
          <w:rFonts w:ascii="Myriad Pro" w:hAnsi="Myriad Pro"/>
          <w:sz w:val="22"/>
          <w:szCs w:val="22"/>
        </w:rPr>
        <w:t xml:space="preserve">réduire </w:t>
      </w:r>
      <w:r w:rsidR="006939A5">
        <w:rPr>
          <w:rFonts w:ascii="Myriad Pro" w:hAnsi="Myriad Pro"/>
          <w:sz w:val="22"/>
          <w:szCs w:val="22"/>
        </w:rPr>
        <w:t>sensiblement c</w:t>
      </w:r>
      <w:r w:rsidRPr="00DA3BC9">
        <w:rPr>
          <w:rFonts w:ascii="Myriad Pro" w:hAnsi="Myriad Pro"/>
          <w:sz w:val="22"/>
          <w:szCs w:val="22"/>
        </w:rPr>
        <w:t>es</w:t>
      </w:r>
      <w:r w:rsidR="00CA4048">
        <w:rPr>
          <w:rFonts w:ascii="Myriad Pro" w:hAnsi="Myriad Pro"/>
          <w:sz w:val="22"/>
          <w:szCs w:val="22"/>
        </w:rPr>
        <w:t xml:space="preserve"> impacts</w:t>
      </w:r>
      <w:r w:rsidRPr="00DA3BC9">
        <w:rPr>
          <w:rFonts w:ascii="Myriad Pro" w:hAnsi="Myriad Pro"/>
          <w:sz w:val="22"/>
          <w:szCs w:val="22"/>
        </w:rPr>
        <w:t xml:space="preserve"> économiques</w:t>
      </w:r>
      <w:r w:rsidR="00D10CCB">
        <w:rPr>
          <w:rFonts w:ascii="Myriad Pro" w:hAnsi="Myriad Pro"/>
          <w:sz w:val="22"/>
          <w:szCs w:val="22"/>
        </w:rPr>
        <w:t>,</w:t>
      </w:r>
      <w:r w:rsidRPr="00DA3BC9">
        <w:rPr>
          <w:rFonts w:ascii="Myriad Pro" w:hAnsi="Myriad Pro"/>
          <w:sz w:val="22"/>
          <w:szCs w:val="22"/>
        </w:rPr>
        <w:t xml:space="preserve"> </w:t>
      </w:r>
      <w:r w:rsidR="005A4515">
        <w:rPr>
          <w:rFonts w:ascii="Myriad Pro" w:hAnsi="Myriad Pro"/>
          <w:sz w:val="22"/>
          <w:szCs w:val="22"/>
        </w:rPr>
        <w:t xml:space="preserve">et </w:t>
      </w:r>
      <w:r w:rsidR="00D10CCB">
        <w:rPr>
          <w:rFonts w:ascii="Myriad Pro" w:hAnsi="Myriad Pro"/>
          <w:sz w:val="22"/>
          <w:szCs w:val="22"/>
        </w:rPr>
        <w:t>sont nécessaires pour</w:t>
      </w:r>
      <w:r w:rsidR="006939A5">
        <w:rPr>
          <w:rFonts w:ascii="Myriad Pro" w:hAnsi="Myriad Pro"/>
          <w:sz w:val="22"/>
          <w:szCs w:val="22"/>
        </w:rPr>
        <w:t xml:space="preserve"> </w:t>
      </w:r>
      <w:r w:rsidR="00D10CCB">
        <w:rPr>
          <w:rFonts w:ascii="Myriad Pro" w:hAnsi="Myriad Pro"/>
          <w:sz w:val="22"/>
          <w:szCs w:val="22"/>
        </w:rPr>
        <w:t>gérer le risque</w:t>
      </w:r>
      <w:r w:rsidR="005A4515">
        <w:rPr>
          <w:rFonts w:ascii="Myriad Pro" w:hAnsi="Myriad Pro"/>
          <w:sz w:val="22"/>
          <w:szCs w:val="22"/>
        </w:rPr>
        <w:t xml:space="preserve"> sanitaire</w:t>
      </w:r>
      <w:r w:rsidR="00D10CCB">
        <w:rPr>
          <w:rFonts w:ascii="Myriad Pro" w:hAnsi="Myriad Pro"/>
          <w:sz w:val="22"/>
          <w:szCs w:val="22"/>
        </w:rPr>
        <w:t xml:space="preserve"> lié aux moustiques </w:t>
      </w:r>
      <w:r w:rsidR="00D10CCB">
        <w:rPr>
          <w:rFonts w:ascii="Myriad Pro" w:hAnsi="Myriad Pro"/>
          <w:i/>
          <w:sz w:val="22"/>
          <w:szCs w:val="22"/>
        </w:rPr>
        <w:t>Aedes</w:t>
      </w:r>
      <w:r w:rsidR="00D10CCB">
        <w:rPr>
          <w:rFonts w:ascii="Myriad Pro" w:hAnsi="Myriad Pro"/>
          <w:sz w:val="22"/>
          <w:szCs w:val="22"/>
        </w:rPr>
        <w:t xml:space="preserve"> sur le long terme</w:t>
      </w:r>
      <w:r>
        <w:rPr>
          <w:rFonts w:ascii="Myriad Pro" w:hAnsi="Myriad Pro"/>
          <w:sz w:val="22"/>
          <w:szCs w:val="22"/>
        </w:rPr>
        <w:t xml:space="preserve">. </w:t>
      </w:r>
    </w:p>
    <w:p w14:paraId="254BF16E" w14:textId="07073A17" w:rsidR="004547F6" w:rsidRPr="001E0B94" w:rsidRDefault="00845C2C" w:rsidP="00320D06">
      <w:pPr>
        <w:jc w:val="both"/>
        <w:rPr>
          <w:rFonts w:ascii="Myriad Pro" w:hAnsi="Myriad Pro"/>
          <w:b/>
          <w:sz w:val="22"/>
          <w:szCs w:val="22"/>
        </w:rPr>
      </w:pPr>
      <w:r>
        <w:rPr>
          <w:rFonts w:ascii="Myriad Pro" w:hAnsi="Myriad Pro"/>
          <w:b/>
          <w:sz w:val="22"/>
          <w:szCs w:val="22"/>
        </w:rPr>
        <w:t xml:space="preserve">Vers de nouvelles stratégies </w:t>
      </w:r>
      <w:r w:rsidR="003A2001">
        <w:rPr>
          <w:rFonts w:ascii="Myriad Pro" w:hAnsi="Myriad Pro"/>
          <w:b/>
          <w:sz w:val="22"/>
          <w:szCs w:val="22"/>
        </w:rPr>
        <w:t>gestion intégrée du risque vectoriel</w:t>
      </w:r>
      <w:r>
        <w:rPr>
          <w:rFonts w:ascii="Myriad Pro" w:hAnsi="Myriad Pro"/>
          <w:b/>
          <w:sz w:val="22"/>
          <w:szCs w:val="22"/>
        </w:rPr>
        <w:t>, avec l’appui de la communauté internationale</w:t>
      </w:r>
    </w:p>
    <w:p w14:paraId="00F63703" w14:textId="77777777" w:rsidR="00DD3B80" w:rsidRDefault="00DD3B80" w:rsidP="0013369C">
      <w:pPr>
        <w:jc w:val="both"/>
        <w:rPr>
          <w:rFonts w:ascii="Myriad Pro" w:hAnsi="Myriad Pro"/>
          <w:sz w:val="22"/>
          <w:szCs w:val="22"/>
        </w:rPr>
      </w:pPr>
    </w:p>
    <w:p w14:paraId="3FC8681B" w14:textId="51D55A4E" w:rsidR="0013369C" w:rsidRDefault="00D10CCB" w:rsidP="0013369C">
      <w:pPr>
        <w:jc w:val="both"/>
        <w:rPr>
          <w:rFonts w:ascii="Myriad Pro" w:hAnsi="Myriad Pro"/>
          <w:sz w:val="22"/>
          <w:szCs w:val="22"/>
        </w:rPr>
      </w:pPr>
      <w:r>
        <w:rPr>
          <w:rFonts w:ascii="Myriad Pro" w:hAnsi="Myriad Pro"/>
          <w:sz w:val="22"/>
          <w:szCs w:val="22"/>
        </w:rPr>
        <w:t>L’analyse des coûts induits par les</w:t>
      </w:r>
      <w:r w:rsidR="00BB3D27">
        <w:rPr>
          <w:rFonts w:ascii="Myriad Pro" w:hAnsi="Myriad Pro"/>
          <w:sz w:val="22"/>
          <w:szCs w:val="22"/>
        </w:rPr>
        <w:t xml:space="preserve"> moustiques</w:t>
      </w:r>
      <w:r>
        <w:rPr>
          <w:rFonts w:ascii="Myriad Pro" w:hAnsi="Myriad Pro"/>
          <w:sz w:val="22"/>
          <w:szCs w:val="22"/>
        </w:rPr>
        <w:t xml:space="preserve"> </w:t>
      </w:r>
      <w:r>
        <w:rPr>
          <w:rFonts w:ascii="Myriad Pro" w:hAnsi="Myriad Pro"/>
          <w:i/>
          <w:sz w:val="22"/>
          <w:szCs w:val="22"/>
        </w:rPr>
        <w:t>Aedes</w:t>
      </w:r>
      <w:r w:rsidRPr="00D10CCB">
        <w:rPr>
          <w:rFonts w:ascii="Myriad Pro" w:hAnsi="Myriad Pro"/>
          <w:sz w:val="22"/>
          <w:szCs w:val="22"/>
        </w:rPr>
        <w:t xml:space="preserve"> et</w:t>
      </w:r>
      <w:r w:rsidRPr="00986193">
        <w:rPr>
          <w:rFonts w:ascii="Myriad Pro" w:hAnsi="Myriad Pro"/>
          <w:sz w:val="22"/>
          <w:szCs w:val="22"/>
        </w:rPr>
        <w:t xml:space="preserve"> les virus qu’</w:t>
      </w:r>
      <w:r w:rsidRPr="00D10CCB">
        <w:rPr>
          <w:rFonts w:ascii="Myriad Pro" w:hAnsi="Myriad Pro"/>
          <w:sz w:val="22"/>
          <w:szCs w:val="22"/>
        </w:rPr>
        <w:t>i</w:t>
      </w:r>
      <w:r w:rsidRPr="00986193">
        <w:rPr>
          <w:rFonts w:ascii="Myriad Pro" w:hAnsi="Myriad Pro"/>
          <w:sz w:val="22"/>
          <w:szCs w:val="22"/>
        </w:rPr>
        <w:t>l</w:t>
      </w:r>
      <w:r>
        <w:rPr>
          <w:rFonts w:ascii="Myriad Pro" w:hAnsi="Myriad Pro"/>
          <w:sz w:val="22"/>
          <w:szCs w:val="22"/>
        </w:rPr>
        <w:t>s</w:t>
      </w:r>
      <w:r w:rsidRPr="00986193">
        <w:rPr>
          <w:rFonts w:ascii="Myriad Pro" w:hAnsi="Myriad Pro"/>
          <w:sz w:val="22"/>
          <w:szCs w:val="22"/>
        </w:rPr>
        <w:t xml:space="preserve"> transmettent</w:t>
      </w:r>
      <w:r>
        <w:rPr>
          <w:rFonts w:ascii="Myriad Pro" w:hAnsi="Myriad Pro"/>
          <w:sz w:val="22"/>
          <w:szCs w:val="22"/>
        </w:rPr>
        <w:t xml:space="preserve"> plaide pour la mise en place de stratégies de gestion préventive du risque sanitaire qu’ils représentent. </w:t>
      </w:r>
      <w:r w:rsidR="003A2001">
        <w:rPr>
          <w:rFonts w:ascii="Myriad Pro" w:hAnsi="Myriad Pro"/>
          <w:sz w:val="22"/>
          <w:szCs w:val="22"/>
        </w:rPr>
        <w:t xml:space="preserve">La diversité des coûts induits et l’identification des différents acteurs directement concernés doit permettre de mobiliser l’ensemble des parties prenantes vers un objectif commun de gestion durable et intégrée du risque vectoriel, tel que recommandé par les instances internationales.  </w:t>
      </w:r>
      <w:r>
        <w:rPr>
          <w:rFonts w:ascii="Myriad Pro" w:hAnsi="Myriad Pro"/>
          <w:sz w:val="22"/>
          <w:szCs w:val="22"/>
        </w:rPr>
        <w:t>Des</w:t>
      </w:r>
      <w:r w:rsidR="004801BF">
        <w:rPr>
          <w:rFonts w:ascii="Myriad Pro" w:hAnsi="Myriad Pro"/>
          <w:sz w:val="22"/>
          <w:szCs w:val="22"/>
        </w:rPr>
        <w:t xml:space="preserve"> études</w:t>
      </w:r>
      <w:r>
        <w:rPr>
          <w:rFonts w:ascii="Myriad Pro" w:hAnsi="Myriad Pro"/>
          <w:sz w:val="22"/>
          <w:szCs w:val="22"/>
        </w:rPr>
        <w:t xml:space="preserve"> de</w:t>
      </w:r>
      <w:r w:rsidR="004801BF">
        <w:rPr>
          <w:rFonts w:ascii="Myriad Pro" w:hAnsi="Myriad Pro"/>
          <w:sz w:val="22"/>
          <w:szCs w:val="22"/>
        </w:rPr>
        <w:t xml:space="preserve"> « coût-efficacité » </w:t>
      </w:r>
      <w:r w:rsidR="00BB3D27">
        <w:rPr>
          <w:rFonts w:ascii="Myriad Pro" w:hAnsi="Myriad Pro"/>
          <w:sz w:val="22"/>
          <w:szCs w:val="22"/>
        </w:rPr>
        <w:t>couplées à des analyses d’acceptabilité sociale doivent permettre d’orienter les décisions pour combiner les méthodes et outils les mieux adaptés au contexte local.</w:t>
      </w:r>
      <w:r w:rsidR="0013369C">
        <w:rPr>
          <w:rFonts w:ascii="Myriad Pro" w:hAnsi="Myriad Pro"/>
          <w:sz w:val="22"/>
          <w:szCs w:val="22"/>
        </w:rPr>
        <w:t xml:space="preserve"> </w:t>
      </w:r>
    </w:p>
    <w:p w14:paraId="63859199" w14:textId="77777777" w:rsidR="004801BF" w:rsidRDefault="004801BF" w:rsidP="00845C2C">
      <w:pPr>
        <w:jc w:val="both"/>
        <w:rPr>
          <w:rFonts w:ascii="Myriad Pro" w:hAnsi="Myriad Pro"/>
          <w:sz w:val="22"/>
          <w:szCs w:val="22"/>
        </w:rPr>
      </w:pPr>
    </w:p>
    <w:p w14:paraId="697B05BD" w14:textId="496818E6" w:rsidR="00845C2C" w:rsidRDefault="004F5DB8" w:rsidP="00845C2C">
      <w:pPr>
        <w:jc w:val="both"/>
        <w:rPr>
          <w:rFonts w:ascii="Myriad Pro" w:hAnsi="Myriad Pro"/>
          <w:sz w:val="22"/>
          <w:szCs w:val="22"/>
        </w:rPr>
      </w:pPr>
      <w:r>
        <w:rPr>
          <w:rFonts w:ascii="Myriad Pro" w:hAnsi="Myriad Pro"/>
          <w:sz w:val="22"/>
          <w:szCs w:val="22"/>
        </w:rPr>
        <w:t>Les auteurs affirment que seuls</w:t>
      </w:r>
      <w:r w:rsidR="00845C2C">
        <w:rPr>
          <w:rFonts w:ascii="Myriad Pro" w:hAnsi="Myriad Pro"/>
          <w:sz w:val="22"/>
          <w:szCs w:val="22"/>
        </w:rPr>
        <w:t xml:space="preserve"> des</w:t>
      </w:r>
      <w:r w:rsidR="00845C2C" w:rsidRPr="003E06D3">
        <w:rPr>
          <w:rFonts w:ascii="Myriad Pro" w:hAnsi="Myriad Pro"/>
          <w:sz w:val="22"/>
          <w:szCs w:val="22"/>
        </w:rPr>
        <w:t xml:space="preserve"> changements sociétaux et une collaboration internationale très engagée </w:t>
      </w:r>
      <w:r>
        <w:rPr>
          <w:rFonts w:ascii="Myriad Pro" w:hAnsi="Myriad Pro"/>
          <w:sz w:val="22"/>
          <w:szCs w:val="22"/>
        </w:rPr>
        <w:t>permettront la mise en œuvre d’</w:t>
      </w:r>
      <w:r w:rsidR="00845C2C" w:rsidRPr="003E06D3">
        <w:rPr>
          <w:rFonts w:ascii="Myriad Pro" w:hAnsi="Myriad Pro"/>
          <w:sz w:val="22"/>
          <w:szCs w:val="22"/>
        </w:rPr>
        <w:t>actions de prévention</w:t>
      </w:r>
      <w:r w:rsidR="00845C2C">
        <w:rPr>
          <w:rFonts w:ascii="Myriad Pro" w:hAnsi="Myriad Pro"/>
          <w:sz w:val="22"/>
          <w:szCs w:val="22"/>
        </w:rPr>
        <w:t xml:space="preserve">, </w:t>
      </w:r>
      <w:r w:rsidR="00845C2C" w:rsidRPr="003E06D3">
        <w:rPr>
          <w:rFonts w:ascii="Myriad Pro" w:hAnsi="Myriad Pro"/>
          <w:sz w:val="22"/>
          <w:szCs w:val="22"/>
        </w:rPr>
        <w:t xml:space="preserve">visant à limiter la dispersion des </w:t>
      </w:r>
      <w:r w:rsidR="00845C2C" w:rsidRPr="003E06D3">
        <w:rPr>
          <w:rFonts w:ascii="Myriad Pro" w:hAnsi="Myriad Pro"/>
          <w:i/>
          <w:sz w:val="22"/>
          <w:szCs w:val="22"/>
        </w:rPr>
        <w:t>Aedes</w:t>
      </w:r>
      <w:r w:rsidR="00845C2C" w:rsidRPr="003E06D3">
        <w:rPr>
          <w:rFonts w:ascii="Myriad Pro" w:hAnsi="Myriad Pro"/>
          <w:sz w:val="22"/>
          <w:szCs w:val="22"/>
        </w:rPr>
        <w:t xml:space="preserve"> envahissants et des maladies qu'ils transmettent dans le monde.</w:t>
      </w:r>
      <w:r w:rsidR="00845C2C">
        <w:rPr>
          <w:rFonts w:ascii="Myriad Pro" w:hAnsi="Myriad Pro"/>
          <w:sz w:val="22"/>
          <w:szCs w:val="22"/>
        </w:rPr>
        <w:t xml:space="preserve"> Cette étude représente</w:t>
      </w:r>
      <w:r w:rsidR="00845C2C" w:rsidRPr="00845C2C">
        <w:rPr>
          <w:rFonts w:ascii="Myriad Pro" w:hAnsi="Myriad Pro"/>
          <w:sz w:val="22"/>
          <w:szCs w:val="22"/>
        </w:rPr>
        <w:t xml:space="preserve"> une opportunité d'agir pour la préservation de la santé mondiale et la réduction des inégalités de santé. </w:t>
      </w:r>
      <w:r w:rsidR="00845C2C">
        <w:rPr>
          <w:rFonts w:ascii="Myriad Pro" w:hAnsi="Myriad Pro"/>
          <w:sz w:val="22"/>
          <w:szCs w:val="22"/>
        </w:rPr>
        <w:t>Les auteurs préconisent</w:t>
      </w:r>
      <w:r w:rsidR="00845C2C" w:rsidRPr="00845C2C">
        <w:rPr>
          <w:rFonts w:ascii="Myriad Pro" w:hAnsi="Myriad Pro"/>
          <w:sz w:val="22"/>
          <w:szCs w:val="22"/>
        </w:rPr>
        <w:t xml:space="preserve"> également d'intensifier les efforts </w:t>
      </w:r>
      <w:r w:rsidR="00845C2C">
        <w:rPr>
          <w:rFonts w:ascii="Myriad Pro" w:hAnsi="Myriad Pro"/>
          <w:sz w:val="22"/>
          <w:szCs w:val="22"/>
        </w:rPr>
        <w:t>dans la gestion d</w:t>
      </w:r>
      <w:r w:rsidR="00845C2C" w:rsidRPr="00845C2C">
        <w:rPr>
          <w:rFonts w:ascii="Myriad Pro" w:hAnsi="Myriad Pro"/>
          <w:sz w:val="22"/>
          <w:szCs w:val="22"/>
        </w:rPr>
        <w:t>es risques associés à d'autres espèces exotiques envah</w:t>
      </w:r>
      <w:r w:rsidR="00845C2C">
        <w:rPr>
          <w:rFonts w:ascii="Myriad Pro" w:hAnsi="Myriad Pro"/>
          <w:sz w:val="22"/>
          <w:szCs w:val="22"/>
        </w:rPr>
        <w:t xml:space="preserve">issantes ainsi qu’à </w:t>
      </w:r>
      <w:r w:rsidR="00845C2C" w:rsidRPr="00845C2C">
        <w:rPr>
          <w:rFonts w:ascii="Myriad Pro" w:hAnsi="Myriad Pro"/>
          <w:sz w:val="22"/>
          <w:szCs w:val="22"/>
        </w:rPr>
        <w:t>d'autres maladies émergentes</w:t>
      </w:r>
      <w:r w:rsidR="00845C2C">
        <w:rPr>
          <w:rFonts w:ascii="Myriad Pro" w:hAnsi="Myriad Pro"/>
          <w:sz w:val="22"/>
          <w:szCs w:val="22"/>
        </w:rPr>
        <w:t>.</w:t>
      </w:r>
    </w:p>
    <w:p w14:paraId="6A27E458" w14:textId="177005F9" w:rsidR="00071E03" w:rsidRDefault="00071E03" w:rsidP="00845C2C">
      <w:pPr>
        <w:jc w:val="both"/>
        <w:rPr>
          <w:rFonts w:ascii="Myriad Pro" w:hAnsi="Myriad Pro"/>
          <w:sz w:val="22"/>
          <w:szCs w:val="22"/>
        </w:rPr>
      </w:pPr>
    </w:p>
    <w:p w14:paraId="3FA1DA8E" w14:textId="1E0B3554" w:rsidR="00071E03" w:rsidRPr="00CA6ADA" w:rsidRDefault="00071E03" w:rsidP="00845C2C">
      <w:pPr>
        <w:jc w:val="both"/>
        <w:rPr>
          <w:rFonts w:ascii="Myriad Pro" w:hAnsi="Myriad Pro"/>
          <w:sz w:val="22"/>
          <w:szCs w:val="22"/>
        </w:rPr>
      </w:pPr>
      <w:r>
        <w:rPr>
          <w:rFonts w:ascii="Myriad Pro" w:hAnsi="Myriad Pro"/>
          <w:sz w:val="22"/>
          <w:szCs w:val="22"/>
        </w:rPr>
        <w:t>--</w:t>
      </w:r>
    </w:p>
    <w:p w14:paraId="45A36AC9" w14:textId="77E0E26D" w:rsidR="001A0F3A" w:rsidRPr="00A77DF4" w:rsidRDefault="001A0F3A" w:rsidP="00071E03">
      <w:pPr>
        <w:spacing w:after="160" w:line="259" w:lineRule="auto"/>
        <w:jc w:val="both"/>
        <w:rPr>
          <w:rFonts w:ascii="Myriad Pro" w:hAnsi="Myriad Pro"/>
          <w:sz w:val="22"/>
          <w:szCs w:val="22"/>
          <w:lang w:val="en-US"/>
        </w:rPr>
      </w:pPr>
      <w:r>
        <w:rPr>
          <w:rFonts w:ascii="Myriad Pro" w:hAnsi="Myriad Pro"/>
          <w:b/>
          <w:sz w:val="22"/>
          <w:szCs w:val="22"/>
        </w:rPr>
        <w:t xml:space="preserve">Référence </w:t>
      </w:r>
      <w:r>
        <w:rPr>
          <w:rFonts w:ascii="Myriad Pro" w:hAnsi="Myriad Pro"/>
          <w:b/>
          <w:sz w:val="22"/>
          <w:szCs w:val="22"/>
        </w:rPr>
        <w:br/>
      </w:r>
      <w:r w:rsidRPr="001A0F3A">
        <w:rPr>
          <w:rFonts w:ascii="Myriad Pro" w:hAnsi="Myriad Pro"/>
          <w:sz w:val="22"/>
          <w:szCs w:val="22"/>
        </w:rPr>
        <w:t xml:space="preserve">David </w:t>
      </w:r>
      <w:proofErr w:type="spellStart"/>
      <w:r w:rsidRPr="001A0F3A">
        <w:rPr>
          <w:rFonts w:ascii="Myriad Pro" w:hAnsi="Myriad Pro"/>
          <w:sz w:val="22"/>
          <w:szCs w:val="22"/>
        </w:rPr>
        <w:t>Roiz</w:t>
      </w:r>
      <w:proofErr w:type="spellEnd"/>
      <w:r w:rsidRPr="001A0F3A">
        <w:rPr>
          <w:rFonts w:ascii="Myriad Pro" w:hAnsi="Myriad Pro"/>
          <w:sz w:val="22"/>
          <w:szCs w:val="22"/>
        </w:rPr>
        <w:t xml:space="preserve">, </w:t>
      </w:r>
      <w:proofErr w:type="spellStart"/>
      <w:r w:rsidRPr="001A0F3A">
        <w:rPr>
          <w:rFonts w:ascii="Myriad Pro" w:hAnsi="Myriad Pro"/>
          <w:sz w:val="22"/>
          <w:szCs w:val="22"/>
        </w:rPr>
        <w:t>Paulina</w:t>
      </w:r>
      <w:proofErr w:type="spellEnd"/>
      <w:r w:rsidRPr="001A0F3A">
        <w:rPr>
          <w:rFonts w:ascii="Myriad Pro" w:hAnsi="Myriad Pro"/>
          <w:sz w:val="22"/>
          <w:szCs w:val="22"/>
        </w:rPr>
        <w:t xml:space="preserve"> A. Pontifes, Fréderic Jourdain, Christophe Diagne, Boris Leroy, Anne-Charlotte </w:t>
      </w:r>
      <w:proofErr w:type="spellStart"/>
      <w:r w:rsidRPr="001A0F3A">
        <w:rPr>
          <w:rFonts w:ascii="Myriad Pro" w:hAnsi="Myriad Pro"/>
          <w:sz w:val="22"/>
          <w:szCs w:val="22"/>
        </w:rPr>
        <w:t>Vaissière</w:t>
      </w:r>
      <w:proofErr w:type="spellEnd"/>
      <w:r w:rsidRPr="001A0F3A">
        <w:rPr>
          <w:rFonts w:ascii="Myriad Pro" w:hAnsi="Myriad Pro"/>
          <w:sz w:val="22"/>
          <w:szCs w:val="22"/>
        </w:rPr>
        <w:t xml:space="preserve">, María José </w:t>
      </w:r>
      <w:proofErr w:type="spellStart"/>
      <w:r w:rsidRPr="001A0F3A">
        <w:rPr>
          <w:rFonts w:ascii="Myriad Pro" w:hAnsi="Myriad Pro"/>
          <w:sz w:val="22"/>
          <w:szCs w:val="22"/>
        </w:rPr>
        <w:t>Tolsá</w:t>
      </w:r>
      <w:proofErr w:type="spellEnd"/>
      <w:r w:rsidRPr="001A0F3A">
        <w:rPr>
          <w:rFonts w:ascii="Myriad Pro" w:hAnsi="Myriad Pro"/>
          <w:sz w:val="22"/>
          <w:szCs w:val="22"/>
        </w:rPr>
        <w:t xml:space="preserve">-García, Jean-Michel Salles, Fréderic Simard, Franck Courchamp. </w:t>
      </w:r>
      <w:hyperlink r:id="rId9" w:history="1">
        <w:r w:rsidRPr="00B236CB">
          <w:rPr>
            <w:rStyle w:val="Lienhypertexte"/>
            <w:rFonts w:ascii="Myriad Pro" w:hAnsi="Myriad Pro"/>
            <w:i/>
            <w:sz w:val="22"/>
            <w:szCs w:val="22"/>
            <w:lang w:val="en-US"/>
          </w:rPr>
          <w:t>The rising global economic costs of invasive Aedes mosquitoes and Aedes-borne diseases</w:t>
        </w:r>
      </w:hyperlink>
      <w:r w:rsidRPr="00A77DF4">
        <w:rPr>
          <w:rFonts w:ascii="Myriad Pro" w:hAnsi="Myriad Pro"/>
          <w:sz w:val="22"/>
          <w:szCs w:val="22"/>
          <w:lang w:val="en-US"/>
        </w:rPr>
        <w:t xml:space="preserve">, Science of The Total Environment, 17 </w:t>
      </w:r>
      <w:proofErr w:type="spellStart"/>
      <w:r w:rsidRPr="00A77DF4">
        <w:rPr>
          <w:rFonts w:ascii="Myriad Pro" w:hAnsi="Myriad Pro"/>
          <w:sz w:val="22"/>
          <w:szCs w:val="22"/>
          <w:lang w:val="en-US"/>
        </w:rPr>
        <w:t>mai</w:t>
      </w:r>
      <w:proofErr w:type="spellEnd"/>
      <w:r w:rsidRPr="00A77DF4">
        <w:rPr>
          <w:rFonts w:ascii="Myriad Pro" w:hAnsi="Myriad Pro"/>
          <w:sz w:val="22"/>
          <w:szCs w:val="22"/>
          <w:lang w:val="en-US"/>
        </w:rPr>
        <w:t xml:space="preserve"> 2024. </w:t>
      </w:r>
      <w:proofErr w:type="gramStart"/>
      <w:r w:rsidRPr="00A77DF4">
        <w:rPr>
          <w:rFonts w:ascii="Myriad Pro" w:hAnsi="Myriad Pro"/>
          <w:sz w:val="22"/>
          <w:szCs w:val="22"/>
          <w:lang w:val="en-US"/>
        </w:rPr>
        <w:t>DOI :</w:t>
      </w:r>
      <w:proofErr w:type="gramEnd"/>
      <w:r w:rsidRPr="00A77DF4">
        <w:rPr>
          <w:rFonts w:ascii="Myriad Pro" w:hAnsi="Myriad Pro"/>
          <w:sz w:val="22"/>
          <w:szCs w:val="22"/>
          <w:lang w:val="en-US"/>
        </w:rPr>
        <w:t xml:space="preserve"> 10.1016/j.scitotenv.2024.173054.</w:t>
      </w:r>
    </w:p>
    <w:p w14:paraId="6E0CA866" w14:textId="77777777" w:rsidR="00FD7069" w:rsidRDefault="00FD7069" w:rsidP="001A0F3A">
      <w:pPr>
        <w:spacing w:after="160" w:line="259" w:lineRule="auto"/>
        <w:rPr>
          <w:rFonts w:ascii="Myriad Pro" w:hAnsi="Myriad Pro"/>
          <w:b/>
          <w:sz w:val="22"/>
          <w:szCs w:val="22"/>
        </w:rPr>
      </w:pPr>
    </w:p>
    <w:p w14:paraId="5FD83C95" w14:textId="53DD5B84" w:rsidR="001A0F3A" w:rsidRPr="00986193" w:rsidRDefault="00E017D8" w:rsidP="001A0F3A">
      <w:pPr>
        <w:spacing w:after="160" w:line="259" w:lineRule="auto"/>
        <w:rPr>
          <w:rFonts w:ascii="Myriad Pro" w:hAnsi="Myriad Pro"/>
          <w:sz w:val="22"/>
          <w:szCs w:val="22"/>
        </w:rPr>
      </w:pPr>
      <w:r w:rsidRPr="00986193">
        <w:rPr>
          <w:rFonts w:ascii="Myriad Pro" w:hAnsi="Myriad Pro"/>
          <w:b/>
          <w:sz w:val="22"/>
          <w:szCs w:val="22"/>
        </w:rPr>
        <w:t>Contacts</w:t>
      </w:r>
      <w:r w:rsidR="00834BB2" w:rsidRPr="00986193">
        <w:rPr>
          <w:rFonts w:ascii="Myriad Pro" w:hAnsi="Myriad Pro"/>
          <w:b/>
          <w:sz w:val="22"/>
          <w:szCs w:val="22"/>
        </w:rPr>
        <w:t xml:space="preserve"> presse </w:t>
      </w:r>
      <w:r w:rsidR="007131CE" w:rsidRPr="00986193">
        <w:rPr>
          <w:rFonts w:ascii="Myriad Pro" w:hAnsi="Myriad Pro"/>
          <w:b/>
          <w:sz w:val="22"/>
          <w:szCs w:val="22"/>
        </w:rPr>
        <w:t xml:space="preserve">  </w:t>
      </w:r>
      <w:r w:rsidR="001A0F3A" w:rsidRPr="00986193">
        <w:rPr>
          <w:rFonts w:ascii="Myriad Pro" w:hAnsi="Myriad Pro"/>
          <w:sz w:val="22"/>
          <w:szCs w:val="22"/>
        </w:rPr>
        <w:br/>
      </w:r>
      <w:r w:rsidR="00834BB2" w:rsidRPr="00986193">
        <w:rPr>
          <w:rFonts w:ascii="Myriad Pro" w:hAnsi="Myriad Pro"/>
          <w:b/>
          <w:bCs/>
          <w:sz w:val="22"/>
          <w:szCs w:val="22"/>
        </w:rPr>
        <w:t xml:space="preserve">∙ </w:t>
      </w:r>
      <w:r w:rsidR="00C83BCA" w:rsidRPr="00986193">
        <w:rPr>
          <w:rFonts w:ascii="Myriad Pro" w:hAnsi="Myriad Pro"/>
          <w:b/>
          <w:bCs/>
          <w:sz w:val="22"/>
          <w:szCs w:val="22"/>
        </w:rPr>
        <w:t>IRD</w:t>
      </w:r>
      <w:r w:rsidR="0006019A" w:rsidRPr="00986193">
        <w:rPr>
          <w:rFonts w:ascii="Myriad Pro" w:hAnsi="Myriad Pro"/>
          <w:sz w:val="22"/>
          <w:szCs w:val="22"/>
        </w:rPr>
        <w:t xml:space="preserve"> </w:t>
      </w:r>
      <w:r w:rsidR="0006019A" w:rsidRPr="00986193">
        <w:rPr>
          <w:rFonts w:ascii="Myriad Pro" w:hAnsi="Myriad Pro"/>
          <w:b/>
          <w:sz w:val="22"/>
          <w:szCs w:val="22"/>
        </w:rPr>
        <w:t xml:space="preserve"> </w:t>
      </w:r>
      <w:hyperlink r:id="rId10" w:history="1">
        <w:r w:rsidR="0006019A" w:rsidRPr="00986193">
          <w:rPr>
            <w:rStyle w:val="Lienhypertexte"/>
            <w:rFonts w:ascii="Myriad Pro" w:hAnsi="Myriad Pro"/>
            <w:sz w:val="22"/>
            <w:szCs w:val="22"/>
          </w:rPr>
          <w:t>presse@ird.fr</w:t>
        </w:r>
      </w:hyperlink>
      <w:r w:rsidR="001A0F3A" w:rsidRPr="00986193">
        <w:rPr>
          <w:rFonts w:ascii="Myriad Pro" w:hAnsi="Myriad Pro"/>
          <w:sz w:val="22"/>
          <w:szCs w:val="22"/>
        </w:rPr>
        <w:t xml:space="preserve"> | Té</w:t>
      </w:r>
      <w:r w:rsidR="0006019A" w:rsidRPr="00986193">
        <w:rPr>
          <w:rFonts w:ascii="Myriad Pro" w:hAnsi="Myriad Pro"/>
          <w:sz w:val="22"/>
          <w:szCs w:val="22"/>
        </w:rPr>
        <w:t>l.: +33 (0</w:t>
      </w:r>
      <w:r w:rsidR="00337A5D" w:rsidRPr="00986193">
        <w:rPr>
          <w:rFonts w:ascii="Myriad Pro" w:hAnsi="Myriad Pro"/>
          <w:sz w:val="22"/>
          <w:szCs w:val="22"/>
        </w:rPr>
        <w:t>)6 40 37 28 05</w:t>
      </w:r>
      <w:r w:rsidR="001A0F3A" w:rsidRPr="00986193">
        <w:rPr>
          <w:rFonts w:ascii="Myriad Pro" w:hAnsi="Myriad Pro"/>
          <w:sz w:val="22"/>
          <w:szCs w:val="22"/>
        </w:rPr>
        <w:br/>
      </w:r>
      <w:r w:rsidR="00834BB2" w:rsidRPr="00986193">
        <w:rPr>
          <w:rFonts w:ascii="Myriad Pro" w:hAnsi="Myriad Pro"/>
          <w:b/>
          <w:sz w:val="22"/>
          <w:szCs w:val="22"/>
        </w:rPr>
        <w:t>∙ CNRS</w:t>
      </w:r>
      <w:r w:rsidR="00834BB2" w:rsidRPr="00986193">
        <w:rPr>
          <w:rFonts w:ascii="Myriad Pro" w:hAnsi="Myriad Pro"/>
          <w:sz w:val="22"/>
          <w:szCs w:val="22"/>
        </w:rPr>
        <w:t xml:space="preserve"> : </w:t>
      </w:r>
      <w:hyperlink r:id="rId11" w:history="1">
        <w:r w:rsidR="001A0F3A" w:rsidRPr="00986193">
          <w:rPr>
            <w:rStyle w:val="Lienhypertexte"/>
            <w:rFonts w:ascii="Myriad Pro" w:hAnsi="Myriad Pro"/>
            <w:sz w:val="22"/>
            <w:szCs w:val="22"/>
          </w:rPr>
          <w:t>presse@cnrs.fr</w:t>
        </w:r>
      </w:hyperlink>
      <w:r w:rsidR="001A0F3A" w:rsidRPr="00986193">
        <w:rPr>
          <w:rFonts w:ascii="Myriad Pro" w:hAnsi="Myriad Pro"/>
          <w:sz w:val="22"/>
          <w:szCs w:val="22"/>
        </w:rPr>
        <w:t xml:space="preserve"> </w:t>
      </w:r>
      <w:r w:rsidR="003A2060">
        <w:rPr>
          <w:rFonts w:ascii="Myriad Pro" w:hAnsi="Myriad Pro"/>
          <w:sz w:val="22"/>
          <w:szCs w:val="22"/>
        </w:rPr>
        <w:t xml:space="preserve">| </w:t>
      </w:r>
      <w:proofErr w:type="spellStart"/>
      <w:r w:rsidR="003A2060">
        <w:rPr>
          <w:rFonts w:ascii="Myriad Pro" w:hAnsi="Myriad Pro"/>
          <w:sz w:val="22"/>
          <w:szCs w:val="22"/>
          <w:lang w:val="en-US"/>
        </w:rPr>
        <w:t>Té</w:t>
      </w:r>
      <w:r w:rsidR="003A2060" w:rsidRPr="00A77DF4">
        <w:rPr>
          <w:rFonts w:ascii="Myriad Pro" w:hAnsi="Myriad Pro"/>
          <w:sz w:val="22"/>
          <w:szCs w:val="22"/>
          <w:lang w:val="en-US"/>
        </w:rPr>
        <w:t>l</w:t>
      </w:r>
      <w:proofErr w:type="spellEnd"/>
      <w:r w:rsidR="003A2060" w:rsidRPr="00A77DF4">
        <w:rPr>
          <w:rFonts w:ascii="Myriad Pro" w:hAnsi="Myriad Pro"/>
          <w:sz w:val="22"/>
          <w:szCs w:val="22"/>
          <w:lang w:val="en-US"/>
        </w:rPr>
        <w:t>.: +33 (0)</w:t>
      </w:r>
      <w:r w:rsidR="003A2060" w:rsidRPr="007F712F">
        <w:rPr>
          <w:rFonts w:ascii="Myriad Pro" w:hAnsi="Myriad Pro"/>
          <w:sz w:val="22"/>
          <w:szCs w:val="22"/>
          <w:lang w:val="en-US"/>
        </w:rPr>
        <w:t>1 44 96 43 09</w:t>
      </w:r>
      <w:r w:rsidR="001A0F3A" w:rsidRPr="00986193">
        <w:rPr>
          <w:rFonts w:ascii="Myriad Pro" w:hAnsi="Myriad Pro"/>
          <w:sz w:val="22"/>
          <w:szCs w:val="22"/>
        </w:rPr>
        <w:br/>
      </w:r>
      <w:r w:rsidR="00834BB2" w:rsidRPr="00986193">
        <w:rPr>
          <w:rFonts w:ascii="Myriad Pro" w:hAnsi="Myriad Pro"/>
          <w:b/>
          <w:sz w:val="22"/>
          <w:szCs w:val="22"/>
        </w:rPr>
        <w:t>∙ MNHN</w:t>
      </w:r>
      <w:r w:rsidR="00834BB2" w:rsidRPr="00986193">
        <w:rPr>
          <w:rFonts w:ascii="Myriad Pro" w:hAnsi="Myriad Pro"/>
          <w:sz w:val="22"/>
          <w:szCs w:val="22"/>
        </w:rPr>
        <w:t xml:space="preserve"> : </w:t>
      </w:r>
      <w:hyperlink r:id="rId12" w:history="1">
        <w:r w:rsidR="001A0F3A" w:rsidRPr="00986193">
          <w:rPr>
            <w:rStyle w:val="Lienhypertexte"/>
            <w:rFonts w:ascii="Myriad Pro" w:hAnsi="Myriad Pro"/>
            <w:sz w:val="22"/>
            <w:szCs w:val="22"/>
          </w:rPr>
          <w:t>presse@mnhn.fr</w:t>
        </w:r>
      </w:hyperlink>
      <w:r w:rsidR="001A0F3A" w:rsidRPr="00986193">
        <w:rPr>
          <w:rFonts w:ascii="Myriad Pro" w:hAnsi="Myriad Pro"/>
          <w:sz w:val="22"/>
          <w:szCs w:val="22"/>
        </w:rPr>
        <w:t xml:space="preserve"> |</w:t>
      </w:r>
      <w:r w:rsidR="00945F16">
        <w:rPr>
          <w:rFonts w:ascii="Myriad Pro" w:hAnsi="Myriad Pro"/>
          <w:sz w:val="22"/>
          <w:szCs w:val="22"/>
        </w:rPr>
        <w:t xml:space="preserve"> </w:t>
      </w:r>
      <w:r w:rsidR="001A0F3A" w:rsidRPr="00986193">
        <w:rPr>
          <w:rFonts w:ascii="Myriad Pro" w:hAnsi="Myriad Pro"/>
          <w:sz w:val="22"/>
          <w:szCs w:val="22"/>
        </w:rPr>
        <w:t>Té</w:t>
      </w:r>
      <w:r w:rsidR="00834BB2" w:rsidRPr="00986193">
        <w:rPr>
          <w:rFonts w:ascii="Myriad Pro" w:hAnsi="Myriad Pro"/>
          <w:sz w:val="22"/>
          <w:szCs w:val="22"/>
        </w:rPr>
        <w:t>l.: +33 (0)</w:t>
      </w:r>
      <w:r w:rsidR="008748F4">
        <w:rPr>
          <w:rFonts w:ascii="Myriad Pro" w:hAnsi="Myriad Pro"/>
          <w:sz w:val="22"/>
          <w:szCs w:val="22"/>
        </w:rPr>
        <w:t>7 77 69 26 03</w:t>
      </w:r>
    </w:p>
    <w:p w14:paraId="430C34A8" w14:textId="77777777" w:rsidR="003A2060" w:rsidRDefault="003A2060">
      <w:pPr>
        <w:spacing w:after="160" w:line="259" w:lineRule="auto"/>
        <w:rPr>
          <w:rFonts w:ascii="Myriad Pro" w:hAnsi="Myriad Pro"/>
          <w:sz w:val="22"/>
          <w:szCs w:val="22"/>
        </w:rPr>
      </w:pPr>
      <w:r>
        <w:rPr>
          <w:rFonts w:ascii="Myriad Pro" w:hAnsi="Myriad Pro"/>
          <w:sz w:val="22"/>
          <w:szCs w:val="22"/>
        </w:rPr>
        <w:br w:type="page"/>
      </w:r>
    </w:p>
    <w:p w14:paraId="67802E8C" w14:textId="2FEA1AA0" w:rsidR="003D103B" w:rsidRDefault="00834BB2" w:rsidP="003D103B">
      <w:pPr>
        <w:rPr>
          <w:rFonts w:ascii="Myriad Pro" w:hAnsi="Myriad Pro"/>
          <w:sz w:val="22"/>
          <w:szCs w:val="22"/>
        </w:rPr>
      </w:pPr>
      <w:r w:rsidRPr="00834BB2">
        <w:rPr>
          <w:rFonts w:ascii="Myriad Pro" w:hAnsi="Myriad Pro"/>
          <w:sz w:val="22"/>
          <w:szCs w:val="22"/>
        </w:rPr>
        <w:lastRenderedPageBreak/>
        <w:t>--</w:t>
      </w:r>
      <w:r w:rsidRPr="00834BB2">
        <w:rPr>
          <w:rFonts w:ascii="Myriad Pro" w:hAnsi="Myriad Pro"/>
          <w:sz w:val="22"/>
          <w:szCs w:val="22"/>
        </w:rPr>
        <w:br/>
      </w:r>
      <w:r w:rsidRPr="00834BB2">
        <w:rPr>
          <w:rFonts w:ascii="Myriad Pro" w:hAnsi="Myriad Pro"/>
          <w:b/>
          <w:sz w:val="22"/>
          <w:szCs w:val="22"/>
        </w:rPr>
        <w:t>Institut de recherche pour le développement (IRD)</w:t>
      </w:r>
      <w:bookmarkStart w:id="1" w:name="_Hlk157002249"/>
    </w:p>
    <w:p w14:paraId="5ABFC214" w14:textId="069D9C41" w:rsidR="00834BB2" w:rsidRPr="00834BB2" w:rsidRDefault="00834BB2" w:rsidP="003D103B">
      <w:pPr>
        <w:jc w:val="both"/>
        <w:rPr>
          <w:rFonts w:ascii="Myriad Pro" w:hAnsi="Myriad Pro"/>
          <w:sz w:val="22"/>
          <w:szCs w:val="22"/>
        </w:rPr>
      </w:pPr>
      <w:r w:rsidRPr="00834BB2">
        <w:rPr>
          <w:rFonts w:ascii="Myriad Pro" w:hAnsi="Myriad Pro"/>
          <w:sz w:val="22"/>
          <w:szCs w:val="22"/>
        </w:rPr>
        <w:t xml:space="preserve">Institut international de recherche, l’IRD contribue à renforcer la résilience des sociétés face aux bouleversements globaux. </w:t>
      </w:r>
      <w:bookmarkStart w:id="2" w:name="_Hlk157156564"/>
      <w:r w:rsidRPr="00834BB2">
        <w:rPr>
          <w:rFonts w:ascii="Myriad Pro" w:hAnsi="Myriad Pro"/>
          <w:sz w:val="22"/>
          <w:szCs w:val="22"/>
        </w:rPr>
        <w:t>Il est présent dans plus de 50 pays d’Afrique, d’Amérique latine, d’Asie et du Pacifique, ainsi que dans les Outre-mer.</w:t>
      </w:r>
      <w:bookmarkEnd w:id="2"/>
      <w:r>
        <w:rPr>
          <w:rFonts w:ascii="Myriad Pro" w:hAnsi="Myriad Pro"/>
          <w:sz w:val="22"/>
          <w:szCs w:val="22"/>
        </w:rPr>
        <w:t xml:space="preserve"> </w:t>
      </w:r>
      <w:r w:rsidRPr="00834BB2">
        <w:rPr>
          <w:rFonts w:ascii="Myriad Pro" w:hAnsi="Myriad Pro"/>
          <w:sz w:val="22"/>
          <w:szCs w:val="22"/>
        </w:rPr>
        <w:t xml:space="preserve">Ses </w:t>
      </w:r>
      <w:bookmarkStart w:id="3" w:name="_Hlk163143553"/>
      <w:r w:rsidRPr="00834BB2">
        <w:rPr>
          <w:rFonts w:ascii="Myriad Pro" w:hAnsi="Myriad Pro"/>
          <w:sz w:val="22"/>
          <w:szCs w:val="22"/>
        </w:rPr>
        <w:t>activités de recherche</w:t>
      </w:r>
      <w:bookmarkEnd w:id="3"/>
      <w:r w:rsidRPr="00834BB2">
        <w:rPr>
          <w:rFonts w:ascii="Myriad Pro" w:hAnsi="Myriad Pro"/>
          <w:sz w:val="22"/>
          <w:szCs w:val="22"/>
        </w:rPr>
        <w:t xml:space="preserve"> répondent de manière concrète à des besoins prioritaires : atténuation et adaptation aux changements climatiques, lutte contre la pauvreté et les inégalités, préservation de la biodiversité, accès aux soins, prise en compte des dynamiques sociales. </w:t>
      </w:r>
      <w:r>
        <w:rPr>
          <w:rFonts w:ascii="Myriad Pro" w:hAnsi="Myriad Pro"/>
          <w:sz w:val="22"/>
          <w:szCs w:val="22"/>
        </w:rPr>
        <w:br/>
      </w:r>
      <w:r w:rsidRPr="00834BB2">
        <w:rPr>
          <w:rFonts w:ascii="Myriad Pro" w:hAnsi="Myriad Pro"/>
          <w:sz w:val="22"/>
          <w:szCs w:val="22"/>
        </w:rPr>
        <w:t>Les questions de recherche sont élaborées avec les acteurs de terrain et les populations locales. Les équipes croisent les regards, les disciplines et les connaissances à travers des partenariats de long terme pour construire des solutions robustes et à fort impact.</w:t>
      </w:r>
      <w:r>
        <w:rPr>
          <w:rFonts w:ascii="Myriad Pro" w:hAnsi="Myriad Pro"/>
          <w:sz w:val="22"/>
          <w:szCs w:val="22"/>
        </w:rPr>
        <w:t xml:space="preserve"> </w:t>
      </w:r>
      <w:r w:rsidRPr="00834BB2">
        <w:rPr>
          <w:rFonts w:ascii="Myriad Pro" w:hAnsi="Myriad Pro"/>
          <w:sz w:val="22"/>
          <w:szCs w:val="22"/>
        </w:rPr>
        <w:t>L’IRD défend une recherche qui bénéficie au plus grand nombre. Il partage les résultats de ses projets et met la sci</w:t>
      </w:r>
      <w:r>
        <w:rPr>
          <w:rFonts w:ascii="Myriad Pro" w:hAnsi="Myriad Pro"/>
          <w:sz w:val="22"/>
          <w:szCs w:val="22"/>
        </w:rPr>
        <w:t xml:space="preserve">ence au service de l’action. Il </w:t>
      </w:r>
      <w:r w:rsidRPr="00834BB2">
        <w:rPr>
          <w:rFonts w:ascii="Myriad Pro" w:hAnsi="Myriad Pro"/>
          <w:sz w:val="22"/>
          <w:szCs w:val="22"/>
        </w:rPr>
        <w:t>accompagne ainsi la transformation des sociétés vers des modèles sociaux, économiques et écologiques plus justes et durables.</w:t>
      </w:r>
      <w:bookmarkEnd w:id="1"/>
      <w:r w:rsidRPr="00834BB2">
        <w:rPr>
          <w:rFonts w:ascii="Myriad Pro" w:hAnsi="Myriad Pro"/>
          <w:sz w:val="22"/>
          <w:szCs w:val="22"/>
        </w:rPr>
        <w:br/>
      </w:r>
      <w:hyperlink r:id="rId13" w:history="1">
        <w:r w:rsidRPr="00834BB2">
          <w:rPr>
            <w:rStyle w:val="Lienhypertexte"/>
            <w:rFonts w:ascii="Myriad Pro" w:hAnsi="Myriad Pro"/>
            <w:sz w:val="22"/>
            <w:szCs w:val="22"/>
          </w:rPr>
          <w:t>www.ird.fr</w:t>
        </w:r>
      </w:hyperlink>
      <w:r w:rsidRPr="00834BB2">
        <w:rPr>
          <w:rFonts w:ascii="Myriad Pro" w:hAnsi="Myriad Pro"/>
          <w:sz w:val="22"/>
          <w:szCs w:val="22"/>
        </w:rPr>
        <w:t xml:space="preserve">  </w:t>
      </w:r>
    </w:p>
    <w:p w14:paraId="3344ABF2" w14:textId="77777777" w:rsidR="003D103B" w:rsidRDefault="003D103B" w:rsidP="003D103B">
      <w:pPr>
        <w:pStyle w:val="Default"/>
        <w:rPr>
          <w:rFonts w:ascii="Myriad Pro" w:hAnsi="Myriad Pro"/>
          <w:b/>
          <w:sz w:val="22"/>
          <w:szCs w:val="22"/>
          <w:lang w:val="fr-FR"/>
        </w:rPr>
      </w:pPr>
    </w:p>
    <w:p w14:paraId="09856983" w14:textId="07FDEB9D" w:rsidR="00834BB2" w:rsidRPr="00834BB2" w:rsidRDefault="00834BB2" w:rsidP="003D103B">
      <w:pPr>
        <w:pStyle w:val="Default"/>
        <w:rPr>
          <w:rFonts w:ascii="Myriad Pro" w:hAnsi="Myriad Pro"/>
          <w:b/>
          <w:sz w:val="22"/>
          <w:szCs w:val="22"/>
          <w:lang w:val="fr-FR"/>
        </w:rPr>
      </w:pPr>
      <w:r w:rsidRPr="00834BB2">
        <w:rPr>
          <w:rFonts w:ascii="Myriad Pro" w:hAnsi="Myriad Pro"/>
          <w:b/>
          <w:sz w:val="22"/>
          <w:szCs w:val="22"/>
          <w:lang w:val="fr-FR"/>
        </w:rPr>
        <w:t>Centre national de la recherche scientifique (CNRS)</w:t>
      </w:r>
    </w:p>
    <w:p w14:paraId="5E2D7DCF" w14:textId="1F5B2DEF" w:rsidR="00834BB2" w:rsidRPr="00834BB2" w:rsidRDefault="00834BB2" w:rsidP="003D103B">
      <w:pPr>
        <w:pStyle w:val="Default"/>
        <w:jc w:val="both"/>
        <w:rPr>
          <w:rStyle w:val="Accentuation"/>
          <w:rFonts w:ascii="Myriad Pro" w:hAnsi="Myriad Pro"/>
          <w:color w:val="151723"/>
          <w:sz w:val="22"/>
          <w:szCs w:val="22"/>
          <w:shd w:val="clear" w:color="auto" w:fill="FFFFFF"/>
          <w:lang w:val="fr-FR"/>
        </w:rPr>
      </w:pPr>
      <w:r w:rsidRPr="00834BB2">
        <w:rPr>
          <w:rFonts w:ascii="Myriad Pro" w:hAnsi="Myriad Pro"/>
          <w:sz w:val="22"/>
          <w:szCs w:val="22"/>
          <w:lang w:val="fr-FR"/>
        </w:rPr>
        <w:t>Acteur majeur de la recherche fondamentale à l’échelle mondiale, le Centre national de la recherche scientifique (CNRS) est le seul organisme français actif dans tous les domaines scientifiques. Sa position singulière de multi-spécialiste lui permet d'associer les différentes disciplines scientifiques pour éclairer et appréhender les défis du monde contemporain, en lien avec les acteurs publics et socio-économiques. Ensemble, les sciences se mettent au service d’un progrès durable qui bénéficie à toute la société</w:t>
      </w:r>
      <w:r w:rsidRPr="00834BB2">
        <w:rPr>
          <w:rFonts w:ascii="Myriad Pro" w:hAnsi="Myriad Pro"/>
          <w:i/>
          <w:iCs/>
          <w:sz w:val="22"/>
          <w:szCs w:val="22"/>
          <w:lang w:val="fr-FR"/>
        </w:rPr>
        <w:t>.</w:t>
      </w:r>
      <w:r w:rsidRPr="00834BB2">
        <w:rPr>
          <w:rStyle w:val="Accentuation"/>
          <w:rFonts w:ascii="Myriad Pro" w:hAnsi="Myriad Pro"/>
          <w:color w:val="151723"/>
          <w:sz w:val="22"/>
          <w:szCs w:val="22"/>
          <w:shd w:val="clear" w:color="auto" w:fill="FFFFFF"/>
          <w:lang w:val="fr-FR"/>
        </w:rPr>
        <w:t> </w:t>
      </w:r>
    </w:p>
    <w:p w14:paraId="12406962" w14:textId="77777777" w:rsidR="00834BB2" w:rsidRPr="00834BB2" w:rsidRDefault="00BE2F1E" w:rsidP="003D103B">
      <w:pPr>
        <w:pStyle w:val="Default"/>
        <w:rPr>
          <w:rStyle w:val="Lienhypertexte"/>
          <w:rFonts w:ascii="Myriad Pro" w:hAnsi="Myriad Pro"/>
          <w:sz w:val="22"/>
          <w:szCs w:val="22"/>
          <w:lang w:val="fr-FR"/>
        </w:rPr>
      </w:pPr>
      <w:hyperlink r:id="rId14" w:history="1">
        <w:r w:rsidR="00834BB2" w:rsidRPr="00834BB2">
          <w:rPr>
            <w:rStyle w:val="Lienhypertexte"/>
            <w:rFonts w:ascii="Myriad Pro" w:hAnsi="Myriad Pro"/>
            <w:sz w:val="22"/>
            <w:szCs w:val="22"/>
            <w:lang w:val="fr-FR"/>
          </w:rPr>
          <w:t>www.cnrs.fr</w:t>
        </w:r>
      </w:hyperlink>
      <w:r w:rsidR="00834BB2" w:rsidRPr="00834BB2">
        <w:rPr>
          <w:rStyle w:val="Lienhypertexte"/>
          <w:rFonts w:ascii="Myriad Pro" w:hAnsi="Myriad Pro"/>
          <w:sz w:val="22"/>
          <w:szCs w:val="22"/>
          <w:lang w:val="fr-FR"/>
        </w:rPr>
        <w:t xml:space="preserve"> </w:t>
      </w:r>
    </w:p>
    <w:p w14:paraId="4C179FC1" w14:textId="77777777" w:rsidR="00834BB2" w:rsidRPr="00834BB2" w:rsidRDefault="00834BB2" w:rsidP="003D103B">
      <w:pPr>
        <w:pStyle w:val="Default"/>
        <w:jc w:val="both"/>
        <w:rPr>
          <w:rFonts w:ascii="Myriad Pro" w:hAnsi="Myriad Pro" w:cstheme="minorBidi"/>
          <w:color w:val="auto"/>
          <w:sz w:val="22"/>
          <w:szCs w:val="22"/>
          <w:lang w:val="fr-FR"/>
        </w:rPr>
      </w:pPr>
    </w:p>
    <w:p w14:paraId="57199365" w14:textId="22C6D3F5" w:rsidR="00834BB2" w:rsidRPr="00945F16" w:rsidRDefault="00834BB2" w:rsidP="003D103B">
      <w:pPr>
        <w:rPr>
          <w:rFonts w:ascii="Myriad Pro" w:hAnsi="Myriad Pro" w:cs="Arial"/>
          <w:b/>
          <w:sz w:val="22"/>
          <w:szCs w:val="22"/>
        </w:rPr>
      </w:pPr>
      <w:r w:rsidRPr="00945F16">
        <w:rPr>
          <w:rFonts w:ascii="Myriad Pro" w:hAnsi="Myriad Pro" w:cs="Arial"/>
          <w:b/>
          <w:sz w:val="22"/>
          <w:szCs w:val="22"/>
        </w:rPr>
        <w:t>Muséum national d'Histoire naturelle (MNHN)</w:t>
      </w:r>
    </w:p>
    <w:p w14:paraId="40BE26D6" w14:textId="671DA9C5" w:rsidR="008748F4" w:rsidRPr="00945F16" w:rsidRDefault="008748F4" w:rsidP="0003655C">
      <w:pPr>
        <w:jc w:val="both"/>
        <w:rPr>
          <w:rFonts w:ascii="Myriad Pro" w:hAnsi="Myriad Pro" w:cstheme="minorHAnsi"/>
          <w:sz w:val="22"/>
          <w:szCs w:val="22"/>
        </w:rPr>
      </w:pPr>
      <w:r w:rsidRPr="00945F16">
        <w:rPr>
          <w:rFonts w:ascii="Myriad Pro" w:hAnsi="Myriad Pro" w:cstheme="minorHAnsi"/>
          <w:sz w:val="22"/>
          <w:szCs w:val="22"/>
        </w:rPr>
        <w:t>À l’interface entre science, culture et société, le Muséum se consacre depuis des siècles à l’étude de la diversité biologique, géologique et culturelle, et aux relations entre les humains et la nature. À la fois centre de recherche, musée et université, il mobilise des disciplines</w:t>
      </w:r>
      <w:r w:rsidR="0003655C" w:rsidRPr="00945F16">
        <w:rPr>
          <w:rFonts w:ascii="Myriad Pro" w:hAnsi="Myriad Pro" w:cstheme="minorHAnsi"/>
          <w:sz w:val="22"/>
          <w:szCs w:val="22"/>
        </w:rPr>
        <w:t xml:space="preserve"> et </w:t>
      </w:r>
      <w:r w:rsidRPr="00945F16">
        <w:rPr>
          <w:rFonts w:ascii="Myriad Pro" w:hAnsi="Myriad Pro" w:cstheme="minorHAnsi"/>
          <w:sz w:val="22"/>
          <w:szCs w:val="22"/>
        </w:rPr>
        <w:t>des savoirs incomparables</w:t>
      </w:r>
      <w:r w:rsidR="0003655C" w:rsidRPr="00945F16">
        <w:rPr>
          <w:rFonts w:ascii="Myriad Pro" w:hAnsi="Myriad Pro" w:cstheme="minorHAnsi"/>
          <w:sz w:val="22"/>
          <w:szCs w:val="22"/>
        </w:rPr>
        <w:t xml:space="preserve"> qui</w:t>
      </w:r>
      <w:r w:rsidRPr="00945F16">
        <w:rPr>
          <w:rFonts w:ascii="Myriad Pro" w:hAnsi="Myriad Pro" w:cstheme="minorHAnsi"/>
          <w:sz w:val="22"/>
          <w:szCs w:val="22"/>
        </w:rPr>
        <w:t xml:space="preserve"> le positionne comme une référence en matière d’enjeux écologiques et sociaux. L'institution rassemble plus 600 chercheurs, abrite 68 millions de spécimens </w:t>
      </w:r>
      <w:r w:rsidR="0003655C" w:rsidRPr="00945F16">
        <w:rPr>
          <w:rFonts w:ascii="Myriad Pro" w:hAnsi="Myriad Pro" w:cstheme="minorHAnsi"/>
          <w:sz w:val="22"/>
          <w:szCs w:val="22"/>
        </w:rPr>
        <w:t>dans ses collections</w:t>
      </w:r>
      <w:r w:rsidRPr="00945F16">
        <w:rPr>
          <w:rFonts w:ascii="Myriad Pro" w:hAnsi="Myriad Pro" w:cstheme="minorHAnsi"/>
          <w:sz w:val="22"/>
          <w:szCs w:val="22"/>
        </w:rPr>
        <w:t>, accueille plus de 800 étudiants par an et a reçu 3,8 millions de visiteurs sur l’ensemble de ses sites</w:t>
      </w:r>
      <w:r w:rsidR="00205CE3" w:rsidRPr="00945F16">
        <w:rPr>
          <w:rFonts w:ascii="Myriad Pro" w:hAnsi="Myriad Pro" w:cstheme="minorHAnsi"/>
          <w:sz w:val="22"/>
          <w:szCs w:val="22"/>
        </w:rPr>
        <w:t xml:space="preserve"> </w:t>
      </w:r>
      <w:r w:rsidRPr="00945F16">
        <w:rPr>
          <w:rFonts w:ascii="Myriad Pro" w:hAnsi="Myriad Pro" w:cstheme="minorHAnsi"/>
          <w:sz w:val="22"/>
          <w:szCs w:val="22"/>
        </w:rPr>
        <w:t>en 2023.</w:t>
      </w:r>
    </w:p>
    <w:p w14:paraId="772AFA3D" w14:textId="5258B379" w:rsidR="0003655C" w:rsidRPr="008748F4" w:rsidRDefault="00BE2F1E" w:rsidP="003D103B">
      <w:pPr>
        <w:rPr>
          <w:rFonts w:ascii="Arial" w:hAnsi="Arial" w:cs="Arial"/>
          <w:sz w:val="22"/>
          <w:szCs w:val="22"/>
        </w:rPr>
      </w:pPr>
      <w:hyperlink r:id="rId15" w:history="1">
        <w:r w:rsidR="003A2060" w:rsidRPr="00AC3F28">
          <w:rPr>
            <w:rStyle w:val="Lienhypertexte"/>
            <w:rFonts w:ascii="Arial" w:hAnsi="Arial" w:cs="Arial"/>
            <w:sz w:val="22"/>
            <w:szCs w:val="22"/>
          </w:rPr>
          <w:t>www.mnhn.fr</w:t>
        </w:r>
      </w:hyperlink>
      <w:r w:rsidR="003A2060">
        <w:rPr>
          <w:rFonts w:ascii="Arial" w:hAnsi="Arial" w:cs="Arial"/>
          <w:sz w:val="22"/>
          <w:szCs w:val="22"/>
        </w:rPr>
        <w:t xml:space="preserve"> </w:t>
      </w:r>
    </w:p>
    <w:p w14:paraId="0600C67C" w14:textId="66CB401D" w:rsidR="00834BB2" w:rsidRPr="008748F4" w:rsidRDefault="00834BB2" w:rsidP="003D103B">
      <w:pPr>
        <w:rPr>
          <w:rFonts w:ascii="Myriad Pro" w:hAnsi="Myriad Pro" w:cs="Arial"/>
          <w:sz w:val="22"/>
          <w:szCs w:val="22"/>
        </w:rPr>
      </w:pPr>
    </w:p>
    <w:p w14:paraId="1E6773CD" w14:textId="3AAA4AE8" w:rsidR="00834BB2" w:rsidRPr="00834BB2" w:rsidRDefault="00834BB2" w:rsidP="003D103B">
      <w:pPr>
        <w:rPr>
          <w:rFonts w:ascii="Myriad Pro" w:hAnsi="Myriad Pro" w:cs="Arial"/>
          <w:b/>
          <w:sz w:val="22"/>
          <w:szCs w:val="22"/>
        </w:rPr>
      </w:pPr>
    </w:p>
    <w:sectPr w:rsidR="00834BB2" w:rsidRPr="00834BB2" w:rsidSect="00D64162">
      <w:headerReference w:type="default" r:id="rId16"/>
      <w:footerReference w:type="default" r:id="rId17"/>
      <w:pgSz w:w="11906" w:h="16838"/>
      <w:pgMar w:top="35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2413D" w14:textId="77777777" w:rsidR="00BE2F1E" w:rsidRDefault="00BE2F1E" w:rsidP="00412222">
      <w:r>
        <w:separator/>
      </w:r>
    </w:p>
  </w:endnote>
  <w:endnote w:type="continuationSeparator" w:id="0">
    <w:p w14:paraId="3937006E" w14:textId="77777777" w:rsidR="00BE2F1E" w:rsidRDefault="00BE2F1E" w:rsidP="00412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20DF0" w14:textId="38ADB0F1" w:rsidR="000873E4" w:rsidRPr="001635FB" w:rsidRDefault="000873E4" w:rsidP="001635FB">
    <w:pPr>
      <w:spacing w:after="160" w:line="259" w:lineRule="auto"/>
      <w:rPr>
        <w:rFonts w:ascii="Myriad Pro" w:hAnsi="Myriad Pro"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B1792" w14:textId="77777777" w:rsidR="00BE2F1E" w:rsidRDefault="00BE2F1E" w:rsidP="00412222">
      <w:r>
        <w:separator/>
      </w:r>
    </w:p>
  </w:footnote>
  <w:footnote w:type="continuationSeparator" w:id="0">
    <w:p w14:paraId="452135D9" w14:textId="77777777" w:rsidR="00BE2F1E" w:rsidRDefault="00BE2F1E" w:rsidP="00412222">
      <w:r>
        <w:continuationSeparator/>
      </w:r>
    </w:p>
  </w:footnote>
  <w:footnote w:id="1">
    <w:p w14:paraId="2E74941A" w14:textId="24791604" w:rsidR="00EB300D" w:rsidRDefault="00EB300D" w:rsidP="00EB300D">
      <w:pPr>
        <w:pStyle w:val="Notedebasdepage"/>
        <w:jc w:val="both"/>
      </w:pPr>
      <w:r>
        <w:rPr>
          <w:rStyle w:val="Appelnotedebasdep"/>
        </w:rPr>
        <w:footnoteRef/>
      </w:r>
      <w:r>
        <w:t xml:space="preserve"> C</w:t>
      </w:r>
      <w:r w:rsidRPr="00EB300D">
        <w:t>oûts médicaux directs : définis comme les dépenses liées au diagnostic, à l'admission à l'hôpital, à l'hospitalisation, aux cas ambulatoires, aux soins du patient et au traitement de la maladie, qu'ils soient payés par les patients ou par les pr</w:t>
      </w:r>
      <w:r>
        <w:t>estataires de soins de santé ; C</w:t>
      </w:r>
      <w:r w:rsidRPr="00EB300D">
        <w:t>oûts non médicaux directs : qui concernent d'autres dépenses liées à l'état de la maladie en dehors du traitement, telles que le transport, la nourriture et l'héb</w:t>
      </w:r>
      <w:r>
        <w:t>ergement des patients ; C</w:t>
      </w:r>
      <w:r w:rsidRPr="00EB300D">
        <w:t>oûts indirects : associés à la perte de productivité due à la maladie, à la morbidité ou à un décès prématuré.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4"/>
      <w:gridCol w:w="1715"/>
      <w:gridCol w:w="2202"/>
      <w:gridCol w:w="1817"/>
      <w:gridCol w:w="1686"/>
    </w:tblGrid>
    <w:tr w:rsidR="003A2060" w14:paraId="720EC3E7" w14:textId="77777777" w:rsidTr="003A2060">
      <w:trPr>
        <w:trHeight w:val="1402"/>
      </w:trPr>
      <w:tc>
        <w:tcPr>
          <w:tcW w:w="2225" w:type="dxa"/>
        </w:tcPr>
        <w:p w14:paraId="790D138C" w14:textId="47348610" w:rsidR="003A2060" w:rsidRDefault="003A2060" w:rsidP="004D7E38">
          <w:pPr>
            <w:pStyle w:val="En-tte"/>
          </w:pPr>
          <w:r>
            <w:rPr>
              <w:noProof/>
              <w:lang w:eastAsia="fr-FR"/>
            </w:rPr>
            <w:drawing>
              <wp:inline distT="0" distB="0" distL="0" distR="0" wp14:anchorId="4507FC6A" wp14:editId="5E6B37DC">
                <wp:extent cx="1173480" cy="953810"/>
                <wp:effectExtent l="0" t="0" r="762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D 2.png"/>
                        <pic:cNvPicPr/>
                      </pic:nvPicPr>
                      <pic:blipFill rotWithShape="1">
                        <a:blip r:embed="rId1">
                          <a:extLst>
                            <a:ext uri="{28A0092B-C50C-407E-A947-70E740481C1C}">
                              <a14:useLocalDpi xmlns:a14="http://schemas.microsoft.com/office/drawing/2010/main" val="0"/>
                            </a:ext>
                          </a:extLst>
                        </a:blip>
                        <a:srcRect t="7501" r="23094" b="29989"/>
                        <a:stretch/>
                      </pic:blipFill>
                      <pic:spPr bwMode="auto">
                        <a:xfrm>
                          <a:off x="0" y="0"/>
                          <a:ext cx="1202733" cy="977587"/>
                        </a:xfrm>
                        <a:prstGeom prst="rect">
                          <a:avLst/>
                        </a:prstGeom>
                        <a:ln>
                          <a:noFill/>
                        </a:ln>
                        <a:extLst>
                          <a:ext uri="{53640926-AAD7-44D8-BBD7-CCE9431645EC}">
                            <a14:shadowObscured xmlns:a14="http://schemas.microsoft.com/office/drawing/2010/main"/>
                          </a:ext>
                        </a:extLst>
                      </pic:spPr>
                    </pic:pic>
                  </a:graphicData>
                </a:graphic>
              </wp:inline>
            </w:drawing>
          </w:r>
        </w:p>
      </w:tc>
      <w:tc>
        <w:tcPr>
          <w:tcW w:w="1739" w:type="dxa"/>
        </w:tcPr>
        <w:p w14:paraId="61BAA88F" w14:textId="708BDEBA" w:rsidR="003A2060" w:rsidRDefault="003A2060" w:rsidP="004D7E38">
          <w:pPr>
            <w:pStyle w:val="En-tte"/>
          </w:pPr>
          <w:r>
            <w:rPr>
              <w:noProof/>
              <w:lang w:eastAsia="fr-FR"/>
            </w:rPr>
            <w:drawing>
              <wp:anchor distT="0" distB="0" distL="114300" distR="114300" simplePos="0" relativeHeight="251716608" behindDoc="0" locked="0" layoutInCell="1" allowOverlap="1" wp14:anchorId="74AD0015" wp14:editId="6F7E8BB3">
                <wp:simplePos x="0" y="0"/>
                <wp:positionH relativeFrom="margin">
                  <wp:align>center</wp:align>
                </wp:positionH>
                <wp:positionV relativeFrom="margin">
                  <wp:align>top</wp:align>
                </wp:positionV>
                <wp:extent cx="752475" cy="741045"/>
                <wp:effectExtent l="0" t="0" r="9525" b="190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CNRS_BLEU.png"/>
                        <pic:cNvPicPr/>
                      </pic:nvPicPr>
                      <pic:blipFill>
                        <a:blip r:embed="rId2">
                          <a:extLst>
                            <a:ext uri="{28A0092B-C50C-407E-A947-70E740481C1C}">
                              <a14:useLocalDpi xmlns:a14="http://schemas.microsoft.com/office/drawing/2010/main" val="0"/>
                            </a:ext>
                          </a:extLst>
                        </a:blip>
                        <a:stretch>
                          <a:fillRect/>
                        </a:stretch>
                      </pic:blipFill>
                      <pic:spPr>
                        <a:xfrm>
                          <a:off x="0" y="0"/>
                          <a:ext cx="752475" cy="741045"/>
                        </a:xfrm>
                        <a:prstGeom prst="rect">
                          <a:avLst/>
                        </a:prstGeom>
                      </pic:spPr>
                    </pic:pic>
                  </a:graphicData>
                </a:graphic>
                <wp14:sizeRelH relativeFrom="margin">
                  <wp14:pctWidth>0</wp14:pctWidth>
                </wp14:sizeRelH>
                <wp14:sizeRelV relativeFrom="margin">
                  <wp14:pctHeight>0</wp14:pctHeight>
                </wp14:sizeRelV>
              </wp:anchor>
            </w:drawing>
          </w:r>
        </w:p>
      </w:tc>
      <w:tc>
        <w:tcPr>
          <w:tcW w:w="2268" w:type="dxa"/>
        </w:tcPr>
        <w:p w14:paraId="38D39F2F" w14:textId="31DC0B37" w:rsidR="003A2060" w:rsidRDefault="003A2060" w:rsidP="004D7E38">
          <w:pPr>
            <w:pStyle w:val="En-tte"/>
            <w:rPr>
              <w:noProof/>
              <w:lang w:eastAsia="fr-FR"/>
            </w:rPr>
          </w:pPr>
          <w:r>
            <w:rPr>
              <w:noProof/>
              <w:lang w:eastAsia="fr-FR"/>
            </w:rPr>
            <w:drawing>
              <wp:anchor distT="0" distB="0" distL="114300" distR="114300" simplePos="0" relativeHeight="251718656" behindDoc="0" locked="0" layoutInCell="1" allowOverlap="1" wp14:anchorId="7DE819A4" wp14:editId="66376AB7">
                <wp:simplePos x="3114675" y="457200"/>
                <wp:positionH relativeFrom="margin">
                  <wp:align>center</wp:align>
                </wp:positionH>
                <wp:positionV relativeFrom="margin">
                  <wp:align>top</wp:align>
                </wp:positionV>
                <wp:extent cx="723900" cy="829278"/>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3" cstate="print">
                          <a:extLst>
                            <a:ext uri="{28A0092B-C50C-407E-A947-70E740481C1C}">
                              <a14:useLocalDpi xmlns:a14="http://schemas.microsoft.com/office/drawing/2010/main" val="0"/>
                            </a:ext>
                          </a:extLst>
                        </a:blip>
                        <a:stretch>
                          <a:fillRect/>
                        </a:stretch>
                      </pic:blipFill>
                      <pic:spPr>
                        <a:xfrm>
                          <a:off x="0" y="0"/>
                          <a:ext cx="723900" cy="829278"/>
                        </a:xfrm>
                        <a:prstGeom prst="rect">
                          <a:avLst/>
                        </a:prstGeom>
                      </pic:spPr>
                    </pic:pic>
                  </a:graphicData>
                </a:graphic>
              </wp:anchor>
            </w:drawing>
          </w:r>
        </w:p>
      </w:tc>
      <w:tc>
        <w:tcPr>
          <w:tcW w:w="1843" w:type="dxa"/>
        </w:tcPr>
        <w:p w14:paraId="5EF293D1" w14:textId="6EB3B8A5" w:rsidR="003A2060" w:rsidRDefault="003A2060" w:rsidP="004D7E38">
          <w:pPr>
            <w:pStyle w:val="En-tte"/>
            <w:rPr>
              <w:noProof/>
              <w:lang w:eastAsia="fr-FR"/>
            </w:rPr>
          </w:pPr>
          <w:r>
            <w:rPr>
              <w:noProof/>
              <w:lang w:eastAsia="fr-FR"/>
            </w:rPr>
            <w:drawing>
              <wp:anchor distT="0" distB="0" distL="114300" distR="114300" simplePos="0" relativeHeight="251715584" behindDoc="0" locked="0" layoutInCell="1" allowOverlap="1" wp14:anchorId="250149C6" wp14:editId="19849F27">
                <wp:simplePos x="0" y="0"/>
                <wp:positionH relativeFrom="margin">
                  <wp:posOffset>239395</wp:posOffset>
                </wp:positionH>
                <wp:positionV relativeFrom="margin">
                  <wp:posOffset>635</wp:posOffset>
                </wp:positionV>
                <wp:extent cx="804545" cy="662305"/>
                <wp:effectExtent l="0" t="0" r="0" b="4445"/>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393-1149-max.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4545" cy="662305"/>
                        </a:xfrm>
                        <a:prstGeom prst="rect">
                          <a:avLst/>
                        </a:prstGeom>
                      </pic:spPr>
                    </pic:pic>
                  </a:graphicData>
                </a:graphic>
                <wp14:sizeRelH relativeFrom="margin">
                  <wp14:pctWidth>0</wp14:pctWidth>
                </wp14:sizeRelH>
                <wp14:sizeRelV relativeFrom="margin">
                  <wp14:pctHeight>0</wp14:pctHeight>
                </wp14:sizeRelV>
              </wp:anchor>
            </w:drawing>
          </w:r>
        </w:p>
      </w:tc>
      <w:tc>
        <w:tcPr>
          <w:tcW w:w="1559" w:type="dxa"/>
        </w:tcPr>
        <w:p w14:paraId="50E165E4" w14:textId="17A6A279" w:rsidR="003A2060" w:rsidRDefault="003A2060" w:rsidP="004D7E38">
          <w:pPr>
            <w:pStyle w:val="En-tte"/>
          </w:pPr>
          <w:r>
            <w:rPr>
              <w:noProof/>
              <w:lang w:eastAsia="fr-FR"/>
            </w:rPr>
            <w:drawing>
              <wp:anchor distT="0" distB="0" distL="114300" distR="114300" simplePos="0" relativeHeight="251717632" behindDoc="0" locked="0" layoutInCell="1" allowOverlap="1" wp14:anchorId="07330CC6" wp14:editId="4CB36F79">
                <wp:simplePos x="0" y="0"/>
                <wp:positionH relativeFrom="margin">
                  <wp:posOffset>0</wp:posOffset>
                </wp:positionH>
                <wp:positionV relativeFrom="margin">
                  <wp:posOffset>634</wp:posOffset>
                </wp:positionV>
                <wp:extent cx="931545" cy="767643"/>
                <wp:effectExtent l="0" t="0" r="1905" b="0"/>
                <wp:wrapSquare wrapText="bothSides"/>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D.png"/>
                        <pic:cNvPicPr/>
                      </pic:nvPicPr>
                      <pic:blipFill>
                        <a:blip r:embed="rId5">
                          <a:extLst>
                            <a:ext uri="{28A0092B-C50C-407E-A947-70E740481C1C}">
                              <a14:useLocalDpi xmlns:a14="http://schemas.microsoft.com/office/drawing/2010/main" val="0"/>
                            </a:ext>
                          </a:extLst>
                        </a:blip>
                        <a:stretch>
                          <a:fillRect/>
                        </a:stretch>
                      </pic:blipFill>
                      <pic:spPr>
                        <a:xfrm>
                          <a:off x="0" y="0"/>
                          <a:ext cx="931545" cy="767643"/>
                        </a:xfrm>
                        <a:prstGeom prst="rect">
                          <a:avLst/>
                        </a:prstGeom>
                      </pic:spPr>
                    </pic:pic>
                  </a:graphicData>
                </a:graphic>
                <wp14:sizeRelH relativeFrom="margin">
                  <wp14:pctWidth>0</wp14:pctWidth>
                </wp14:sizeRelH>
                <wp14:sizeRelV relativeFrom="margin">
                  <wp14:pctHeight>0</wp14:pctHeight>
                </wp14:sizeRelV>
              </wp:anchor>
            </w:drawing>
          </w:r>
        </w:p>
      </w:tc>
    </w:tr>
  </w:tbl>
  <w:p w14:paraId="200A91A9" w14:textId="4AAE250B" w:rsidR="000873E4" w:rsidRDefault="000873E4" w:rsidP="004D7E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D4E"/>
    <w:multiLevelType w:val="multilevel"/>
    <w:tmpl w:val="A8B0F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5C7299"/>
    <w:multiLevelType w:val="hybridMultilevel"/>
    <w:tmpl w:val="56A0A8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CD723E"/>
    <w:multiLevelType w:val="hybridMultilevel"/>
    <w:tmpl w:val="F9CA7FB2"/>
    <w:lvl w:ilvl="0" w:tplc="4A563C96">
      <w:start w:val="1"/>
      <w:numFmt w:val="bullet"/>
      <w:lvlText w:val="•"/>
      <w:lvlJc w:val="left"/>
      <w:pPr>
        <w:tabs>
          <w:tab w:val="num" w:pos="720"/>
        </w:tabs>
        <w:ind w:left="720" w:hanging="360"/>
      </w:pPr>
      <w:rPr>
        <w:rFonts w:ascii="Arial" w:hAnsi="Arial" w:hint="default"/>
      </w:rPr>
    </w:lvl>
    <w:lvl w:ilvl="1" w:tplc="A96AC5EC" w:tentative="1">
      <w:start w:val="1"/>
      <w:numFmt w:val="bullet"/>
      <w:lvlText w:val="•"/>
      <w:lvlJc w:val="left"/>
      <w:pPr>
        <w:tabs>
          <w:tab w:val="num" w:pos="1440"/>
        </w:tabs>
        <w:ind w:left="1440" w:hanging="360"/>
      </w:pPr>
      <w:rPr>
        <w:rFonts w:ascii="Arial" w:hAnsi="Arial" w:hint="default"/>
      </w:rPr>
    </w:lvl>
    <w:lvl w:ilvl="2" w:tplc="80F80E6C" w:tentative="1">
      <w:start w:val="1"/>
      <w:numFmt w:val="bullet"/>
      <w:lvlText w:val="•"/>
      <w:lvlJc w:val="left"/>
      <w:pPr>
        <w:tabs>
          <w:tab w:val="num" w:pos="2160"/>
        </w:tabs>
        <w:ind w:left="2160" w:hanging="360"/>
      </w:pPr>
      <w:rPr>
        <w:rFonts w:ascii="Arial" w:hAnsi="Arial" w:hint="default"/>
      </w:rPr>
    </w:lvl>
    <w:lvl w:ilvl="3" w:tplc="C1289ABA" w:tentative="1">
      <w:start w:val="1"/>
      <w:numFmt w:val="bullet"/>
      <w:lvlText w:val="•"/>
      <w:lvlJc w:val="left"/>
      <w:pPr>
        <w:tabs>
          <w:tab w:val="num" w:pos="2880"/>
        </w:tabs>
        <w:ind w:left="2880" w:hanging="360"/>
      </w:pPr>
      <w:rPr>
        <w:rFonts w:ascii="Arial" w:hAnsi="Arial" w:hint="default"/>
      </w:rPr>
    </w:lvl>
    <w:lvl w:ilvl="4" w:tplc="7A9E8170" w:tentative="1">
      <w:start w:val="1"/>
      <w:numFmt w:val="bullet"/>
      <w:lvlText w:val="•"/>
      <w:lvlJc w:val="left"/>
      <w:pPr>
        <w:tabs>
          <w:tab w:val="num" w:pos="3600"/>
        </w:tabs>
        <w:ind w:left="3600" w:hanging="360"/>
      </w:pPr>
      <w:rPr>
        <w:rFonts w:ascii="Arial" w:hAnsi="Arial" w:hint="default"/>
      </w:rPr>
    </w:lvl>
    <w:lvl w:ilvl="5" w:tplc="1BE212E2" w:tentative="1">
      <w:start w:val="1"/>
      <w:numFmt w:val="bullet"/>
      <w:lvlText w:val="•"/>
      <w:lvlJc w:val="left"/>
      <w:pPr>
        <w:tabs>
          <w:tab w:val="num" w:pos="4320"/>
        </w:tabs>
        <w:ind w:left="4320" w:hanging="360"/>
      </w:pPr>
      <w:rPr>
        <w:rFonts w:ascii="Arial" w:hAnsi="Arial" w:hint="default"/>
      </w:rPr>
    </w:lvl>
    <w:lvl w:ilvl="6" w:tplc="D5CA4EA2" w:tentative="1">
      <w:start w:val="1"/>
      <w:numFmt w:val="bullet"/>
      <w:lvlText w:val="•"/>
      <w:lvlJc w:val="left"/>
      <w:pPr>
        <w:tabs>
          <w:tab w:val="num" w:pos="5040"/>
        </w:tabs>
        <w:ind w:left="5040" w:hanging="360"/>
      </w:pPr>
      <w:rPr>
        <w:rFonts w:ascii="Arial" w:hAnsi="Arial" w:hint="default"/>
      </w:rPr>
    </w:lvl>
    <w:lvl w:ilvl="7" w:tplc="0016B838" w:tentative="1">
      <w:start w:val="1"/>
      <w:numFmt w:val="bullet"/>
      <w:lvlText w:val="•"/>
      <w:lvlJc w:val="left"/>
      <w:pPr>
        <w:tabs>
          <w:tab w:val="num" w:pos="5760"/>
        </w:tabs>
        <w:ind w:left="5760" w:hanging="360"/>
      </w:pPr>
      <w:rPr>
        <w:rFonts w:ascii="Arial" w:hAnsi="Arial" w:hint="default"/>
      </w:rPr>
    </w:lvl>
    <w:lvl w:ilvl="8" w:tplc="B15E16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C47F12"/>
    <w:multiLevelType w:val="hybridMultilevel"/>
    <w:tmpl w:val="5D981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533160"/>
    <w:multiLevelType w:val="hybridMultilevel"/>
    <w:tmpl w:val="6E0E72F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C37ED4"/>
    <w:multiLevelType w:val="hybridMultilevel"/>
    <w:tmpl w:val="0FF0E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89C3F68"/>
    <w:multiLevelType w:val="hybridMultilevel"/>
    <w:tmpl w:val="B70491FC"/>
    <w:lvl w:ilvl="0" w:tplc="DAFCB336">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AD16FC5"/>
    <w:multiLevelType w:val="hybridMultilevel"/>
    <w:tmpl w:val="58A87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1A5BF6"/>
    <w:multiLevelType w:val="hybridMultilevel"/>
    <w:tmpl w:val="B5AAF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ED4C38"/>
    <w:multiLevelType w:val="hybridMultilevel"/>
    <w:tmpl w:val="DBAC09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DE63B2"/>
    <w:multiLevelType w:val="hybridMultilevel"/>
    <w:tmpl w:val="BAB2E4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42126F5"/>
    <w:multiLevelType w:val="hybridMultilevel"/>
    <w:tmpl w:val="1FC419B4"/>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2" w15:restartNumberingAfterBreak="0">
    <w:nsid w:val="3A1A3198"/>
    <w:multiLevelType w:val="hybridMultilevel"/>
    <w:tmpl w:val="29FC2B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0807A5"/>
    <w:multiLevelType w:val="hybridMultilevel"/>
    <w:tmpl w:val="D91827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E777CC9"/>
    <w:multiLevelType w:val="hybridMultilevel"/>
    <w:tmpl w:val="09A68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68E4F72"/>
    <w:multiLevelType w:val="hybridMultilevel"/>
    <w:tmpl w:val="0948900A"/>
    <w:lvl w:ilvl="0" w:tplc="A1B07C1E">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AD26FF0"/>
    <w:multiLevelType w:val="hybridMultilevel"/>
    <w:tmpl w:val="32F66F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E67512F"/>
    <w:multiLevelType w:val="hybridMultilevel"/>
    <w:tmpl w:val="9230BC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60EC1A37"/>
    <w:multiLevelType w:val="hybridMultilevel"/>
    <w:tmpl w:val="A56A6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79C20EB"/>
    <w:multiLevelType w:val="hybridMultilevel"/>
    <w:tmpl w:val="C7102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41761B0"/>
    <w:multiLevelType w:val="hybridMultilevel"/>
    <w:tmpl w:val="08564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A503246"/>
    <w:multiLevelType w:val="hybridMultilevel"/>
    <w:tmpl w:val="C95E9B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B9C5094"/>
    <w:multiLevelType w:val="hybridMultilevel"/>
    <w:tmpl w:val="F0627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CE9479F"/>
    <w:multiLevelType w:val="hybridMultilevel"/>
    <w:tmpl w:val="72DCC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F2043C"/>
    <w:multiLevelType w:val="hybridMultilevel"/>
    <w:tmpl w:val="62B890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20"/>
  </w:num>
  <w:num w:numId="4">
    <w:abstractNumId w:val="8"/>
  </w:num>
  <w:num w:numId="5">
    <w:abstractNumId w:val="17"/>
  </w:num>
  <w:num w:numId="6">
    <w:abstractNumId w:val="11"/>
  </w:num>
  <w:num w:numId="7">
    <w:abstractNumId w:val="23"/>
  </w:num>
  <w:num w:numId="8">
    <w:abstractNumId w:val="24"/>
  </w:num>
  <w:num w:numId="9">
    <w:abstractNumId w:val="1"/>
  </w:num>
  <w:num w:numId="10">
    <w:abstractNumId w:val="22"/>
  </w:num>
  <w:num w:numId="11">
    <w:abstractNumId w:val="5"/>
  </w:num>
  <w:num w:numId="12">
    <w:abstractNumId w:val="18"/>
  </w:num>
  <w:num w:numId="13">
    <w:abstractNumId w:val="12"/>
  </w:num>
  <w:num w:numId="14">
    <w:abstractNumId w:val="4"/>
  </w:num>
  <w:num w:numId="15">
    <w:abstractNumId w:val="14"/>
  </w:num>
  <w:num w:numId="16">
    <w:abstractNumId w:val="6"/>
  </w:num>
  <w:num w:numId="17">
    <w:abstractNumId w:val="2"/>
  </w:num>
  <w:num w:numId="18">
    <w:abstractNumId w:val="0"/>
  </w:num>
  <w:num w:numId="19">
    <w:abstractNumId w:val="13"/>
  </w:num>
  <w:num w:numId="20">
    <w:abstractNumId w:val="16"/>
  </w:num>
  <w:num w:numId="21">
    <w:abstractNumId w:val="15"/>
  </w:num>
  <w:num w:numId="22">
    <w:abstractNumId w:val="3"/>
  </w:num>
  <w:num w:numId="23">
    <w:abstractNumId w:val="10"/>
  </w:num>
  <w:num w:numId="24">
    <w:abstractNumId w:val="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activeWritingStyle w:appName="MSWord" w:lang="fr-F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222"/>
    <w:rsid w:val="00001C15"/>
    <w:rsid w:val="000116A1"/>
    <w:rsid w:val="00015ED5"/>
    <w:rsid w:val="0001646F"/>
    <w:rsid w:val="000209C8"/>
    <w:rsid w:val="00021725"/>
    <w:rsid w:val="0002176E"/>
    <w:rsid w:val="000232D4"/>
    <w:rsid w:val="00027B58"/>
    <w:rsid w:val="0003273A"/>
    <w:rsid w:val="00032D7E"/>
    <w:rsid w:val="0003365D"/>
    <w:rsid w:val="00033DCE"/>
    <w:rsid w:val="0003527E"/>
    <w:rsid w:val="000357AB"/>
    <w:rsid w:val="0003655C"/>
    <w:rsid w:val="000476F0"/>
    <w:rsid w:val="00052183"/>
    <w:rsid w:val="00055FF3"/>
    <w:rsid w:val="00056BE2"/>
    <w:rsid w:val="0006019A"/>
    <w:rsid w:val="00060495"/>
    <w:rsid w:val="00062496"/>
    <w:rsid w:val="000669B5"/>
    <w:rsid w:val="00066A0A"/>
    <w:rsid w:val="00071E03"/>
    <w:rsid w:val="00072D9C"/>
    <w:rsid w:val="00073BB8"/>
    <w:rsid w:val="000767C6"/>
    <w:rsid w:val="00076BBD"/>
    <w:rsid w:val="00076C57"/>
    <w:rsid w:val="00077EFD"/>
    <w:rsid w:val="000873E4"/>
    <w:rsid w:val="0009585B"/>
    <w:rsid w:val="00096BA3"/>
    <w:rsid w:val="000A1370"/>
    <w:rsid w:val="000A212E"/>
    <w:rsid w:val="000B4A86"/>
    <w:rsid w:val="000B5A61"/>
    <w:rsid w:val="000B6335"/>
    <w:rsid w:val="000C01BF"/>
    <w:rsid w:val="000C0FA6"/>
    <w:rsid w:val="000C1545"/>
    <w:rsid w:val="000C4665"/>
    <w:rsid w:val="000C68B1"/>
    <w:rsid w:val="000D074B"/>
    <w:rsid w:val="000D3296"/>
    <w:rsid w:val="000D32C8"/>
    <w:rsid w:val="000F2110"/>
    <w:rsid w:val="000F4CB4"/>
    <w:rsid w:val="000F4F24"/>
    <w:rsid w:val="000F7C8E"/>
    <w:rsid w:val="00103383"/>
    <w:rsid w:val="001040B0"/>
    <w:rsid w:val="00104468"/>
    <w:rsid w:val="0010598D"/>
    <w:rsid w:val="00105DDD"/>
    <w:rsid w:val="001105A4"/>
    <w:rsid w:val="0011201D"/>
    <w:rsid w:val="00114565"/>
    <w:rsid w:val="00117099"/>
    <w:rsid w:val="00132601"/>
    <w:rsid w:val="001328D3"/>
    <w:rsid w:val="0013369C"/>
    <w:rsid w:val="001342FD"/>
    <w:rsid w:val="0013572C"/>
    <w:rsid w:val="0013775C"/>
    <w:rsid w:val="001420BB"/>
    <w:rsid w:val="0014411E"/>
    <w:rsid w:val="00150C42"/>
    <w:rsid w:val="001567AC"/>
    <w:rsid w:val="001629C2"/>
    <w:rsid w:val="00163064"/>
    <w:rsid w:val="001635FB"/>
    <w:rsid w:val="00163E75"/>
    <w:rsid w:val="00177946"/>
    <w:rsid w:val="001803E7"/>
    <w:rsid w:val="00181D45"/>
    <w:rsid w:val="001862F7"/>
    <w:rsid w:val="0018720D"/>
    <w:rsid w:val="00190C20"/>
    <w:rsid w:val="00191497"/>
    <w:rsid w:val="001954E6"/>
    <w:rsid w:val="00195A95"/>
    <w:rsid w:val="001A0F3A"/>
    <w:rsid w:val="001A1EDF"/>
    <w:rsid w:val="001A5603"/>
    <w:rsid w:val="001A623B"/>
    <w:rsid w:val="001B07FF"/>
    <w:rsid w:val="001B0B2D"/>
    <w:rsid w:val="001B1040"/>
    <w:rsid w:val="001B28F4"/>
    <w:rsid w:val="001B6EB9"/>
    <w:rsid w:val="001B74F7"/>
    <w:rsid w:val="001C195D"/>
    <w:rsid w:val="001C213D"/>
    <w:rsid w:val="001C4006"/>
    <w:rsid w:val="001C5F47"/>
    <w:rsid w:val="001D4C21"/>
    <w:rsid w:val="001D5732"/>
    <w:rsid w:val="001D7607"/>
    <w:rsid w:val="001E0B94"/>
    <w:rsid w:val="001E20FF"/>
    <w:rsid w:val="001E3BD0"/>
    <w:rsid w:val="001E7134"/>
    <w:rsid w:val="001F0882"/>
    <w:rsid w:val="001F2F86"/>
    <w:rsid w:val="001F34B3"/>
    <w:rsid w:val="001F533D"/>
    <w:rsid w:val="001F6012"/>
    <w:rsid w:val="00205CE3"/>
    <w:rsid w:val="002063FC"/>
    <w:rsid w:val="00213D5E"/>
    <w:rsid w:val="00215CD3"/>
    <w:rsid w:val="0021690D"/>
    <w:rsid w:val="0022282E"/>
    <w:rsid w:val="0022444E"/>
    <w:rsid w:val="00227BFF"/>
    <w:rsid w:val="002307B2"/>
    <w:rsid w:val="00235AB1"/>
    <w:rsid w:val="00242F88"/>
    <w:rsid w:val="00243E2E"/>
    <w:rsid w:val="00250509"/>
    <w:rsid w:val="0025374E"/>
    <w:rsid w:val="00261D19"/>
    <w:rsid w:val="002642B9"/>
    <w:rsid w:val="00271821"/>
    <w:rsid w:val="00282CE5"/>
    <w:rsid w:val="002844A2"/>
    <w:rsid w:val="00285942"/>
    <w:rsid w:val="00290861"/>
    <w:rsid w:val="002929CA"/>
    <w:rsid w:val="00295DEA"/>
    <w:rsid w:val="00297607"/>
    <w:rsid w:val="002A0911"/>
    <w:rsid w:val="002A0DAC"/>
    <w:rsid w:val="002A3588"/>
    <w:rsid w:val="002B13E3"/>
    <w:rsid w:val="002B2B84"/>
    <w:rsid w:val="002B3D04"/>
    <w:rsid w:val="002B438E"/>
    <w:rsid w:val="002B72F6"/>
    <w:rsid w:val="002B769B"/>
    <w:rsid w:val="002C25EC"/>
    <w:rsid w:val="002C6EC2"/>
    <w:rsid w:val="002D3E67"/>
    <w:rsid w:val="002E5E3E"/>
    <w:rsid w:val="00301A79"/>
    <w:rsid w:val="00302840"/>
    <w:rsid w:val="00302971"/>
    <w:rsid w:val="00302D9E"/>
    <w:rsid w:val="00313B44"/>
    <w:rsid w:val="003177EE"/>
    <w:rsid w:val="00320D06"/>
    <w:rsid w:val="003215C5"/>
    <w:rsid w:val="00327AE8"/>
    <w:rsid w:val="003316F6"/>
    <w:rsid w:val="00331CA0"/>
    <w:rsid w:val="0033552A"/>
    <w:rsid w:val="00337A5D"/>
    <w:rsid w:val="00340549"/>
    <w:rsid w:val="003408BE"/>
    <w:rsid w:val="00350495"/>
    <w:rsid w:val="003519C3"/>
    <w:rsid w:val="00361789"/>
    <w:rsid w:val="00362B15"/>
    <w:rsid w:val="00366F45"/>
    <w:rsid w:val="00372A90"/>
    <w:rsid w:val="00373D77"/>
    <w:rsid w:val="00381BDA"/>
    <w:rsid w:val="0038286E"/>
    <w:rsid w:val="00384695"/>
    <w:rsid w:val="00395A40"/>
    <w:rsid w:val="003A0C2E"/>
    <w:rsid w:val="003A1929"/>
    <w:rsid w:val="003A1F1F"/>
    <w:rsid w:val="003A2001"/>
    <w:rsid w:val="003A2060"/>
    <w:rsid w:val="003A5FA9"/>
    <w:rsid w:val="003A6416"/>
    <w:rsid w:val="003A6BD6"/>
    <w:rsid w:val="003A6EE3"/>
    <w:rsid w:val="003A76E2"/>
    <w:rsid w:val="003A7E6B"/>
    <w:rsid w:val="003B07F5"/>
    <w:rsid w:val="003C1160"/>
    <w:rsid w:val="003C1D34"/>
    <w:rsid w:val="003C3DBA"/>
    <w:rsid w:val="003C4571"/>
    <w:rsid w:val="003D0CA5"/>
    <w:rsid w:val="003D103B"/>
    <w:rsid w:val="003D105E"/>
    <w:rsid w:val="003D1AB7"/>
    <w:rsid w:val="003D2D96"/>
    <w:rsid w:val="003D65FD"/>
    <w:rsid w:val="003D6967"/>
    <w:rsid w:val="003E06D3"/>
    <w:rsid w:val="003E06ED"/>
    <w:rsid w:val="003E24B0"/>
    <w:rsid w:val="0040091F"/>
    <w:rsid w:val="004038DB"/>
    <w:rsid w:val="0041004F"/>
    <w:rsid w:val="00412222"/>
    <w:rsid w:val="00416066"/>
    <w:rsid w:val="00421EAB"/>
    <w:rsid w:val="00431452"/>
    <w:rsid w:val="00434512"/>
    <w:rsid w:val="00434FEB"/>
    <w:rsid w:val="00443396"/>
    <w:rsid w:val="00444591"/>
    <w:rsid w:val="004467EE"/>
    <w:rsid w:val="00450B48"/>
    <w:rsid w:val="0045265F"/>
    <w:rsid w:val="004547F6"/>
    <w:rsid w:val="004576C0"/>
    <w:rsid w:val="0046238A"/>
    <w:rsid w:val="00463519"/>
    <w:rsid w:val="00463739"/>
    <w:rsid w:val="00471417"/>
    <w:rsid w:val="00471ACB"/>
    <w:rsid w:val="00474334"/>
    <w:rsid w:val="00476835"/>
    <w:rsid w:val="004801BF"/>
    <w:rsid w:val="004809D7"/>
    <w:rsid w:val="00483A9D"/>
    <w:rsid w:val="0048577D"/>
    <w:rsid w:val="00494004"/>
    <w:rsid w:val="00497B81"/>
    <w:rsid w:val="004A1E15"/>
    <w:rsid w:val="004A40B7"/>
    <w:rsid w:val="004A6682"/>
    <w:rsid w:val="004B09D6"/>
    <w:rsid w:val="004B13F1"/>
    <w:rsid w:val="004C1446"/>
    <w:rsid w:val="004C4654"/>
    <w:rsid w:val="004D1A92"/>
    <w:rsid w:val="004D4683"/>
    <w:rsid w:val="004D7E38"/>
    <w:rsid w:val="004D7E5B"/>
    <w:rsid w:val="004E036C"/>
    <w:rsid w:val="004E3B35"/>
    <w:rsid w:val="004E71F2"/>
    <w:rsid w:val="004E7606"/>
    <w:rsid w:val="004E7A4A"/>
    <w:rsid w:val="004F002C"/>
    <w:rsid w:val="004F3447"/>
    <w:rsid w:val="004F54DC"/>
    <w:rsid w:val="004F5DB8"/>
    <w:rsid w:val="0050279C"/>
    <w:rsid w:val="00505A7F"/>
    <w:rsid w:val="00511B4D"/>
    <w:rsid w:val="00513A27"/>
    <w:rsid w:val="0052206E"/>
    <w:rsid w:val="005234F0"/>
    <w:rsid w:val="00525C23"/>
    <w:rsid w:val="005311D1"/>
    <w:rsid w:val="005430F4"/>
    <w:rsid w:val="00543815"/>
    <w:rsid w:val="005500D2"/>
    <w:rsid w:val="00553A42"/>
    <w:rsid w:val="00555D81"/>
    <w:rsid w:val="005602CB"/>
    <w:rsid w:val="005663D5"/>
    <w:rsid w:val="005701A1"/>
    <w:rsid w:val="00580AEB"/>
    <w:rsid w:val="00585183"/>
    <w:rsid w:val="00586128"/>
    <w:rsid w:val="00592D73"/>
    <w:rsid w:val="00595954"/>
    <w:rsid w:val="00595C74"/>
    <w:rsid w:val="005A4515"/>
    <w:rsid w:val="005B4C1C"/>
    <w:rsid w:val="005B55FF"/>
    <w:rsid w:val="005B759F"/>
    <w:rsid w:val="005C0DF6"/>
    <w:rsid w:val="005C4094"/>
    <w:rsid w:val="005C5820"/>
    <w:rsid w:val="005C58DC"/>
    <w:rsid w:val="005D052D"/>
    <w:rsid w:val="005D09B7"/>
    <w:rsid w:val="005D2D72"/>
    <w:rsid w:val="005D429C"/>
    <w:rsid w:val="005E3E94"/>
    <w:rsid w:val="005E6AFF"/>
    <w:rsid w:val="005F015A"/>
    <w:rsid w:val="005F2D78"/>
    <w:rsid w:val="005F5C2F"/>
    <w:rsid w:val="005F6EA2"/>
    <w:rsid w:val="005F709D"/>
    <w:rsid w:val="00601CA7"/>
    <w:rsid w:val="00606181"/>
    <w:rsid w:val="00616B06"/>
    <w:rsid w:val="00617DBF"/>
    <w:rsid w:val="006220C5"/>
    <w:rsid w:val="00623B01"/>
    <w:rsid w:val="00624FED"/>
    <w:rsid w:val="0063622E"/>
    <w:rsid w:val="00637196"/>
    <w:rsid w:val="00642645"/>
    <w:rsid w:val="00650847"/>
    <w:rsid w:val="006612AB"/>
    <w:rsid w:val="0066194D"/>
    <w:rsid w:val="0066479C"/>
    <w:rsid w:val="00665631"/>
    <w:rsid w:val="00665793"/>
    <w:rsid w:val="00665F1B"/>
    <w:rsid w:val="006669A5"/>
    <w:rsid w:val="0066702E"/>
    <w:rsid w:val="00672F21"/>
    <w:rsid w:val="00675A8A"/>
    <w:rsid w:val="00676C77"/>
    <w:rsid w:val="0068084C"/>
    <w:rsid w:val="00682995"/>
    <w:rsid w:val="00692931"/>
    <w:rsid w:val="00692ADC"/>
    <w:rsid w:val="006939A5"/>
    <w:rsid w:val="006A0C2E"/>
    <w:rsid w:val="006A0F49"/>
    <w:rsid w:val="006A5F5B"/>
    <w:rsid w:val="006A7FE9"/>
    <w:rsid w:val="006B05AD"/>
    <w:rsid w:val="006B12A7"/>
    <w:rsid w:val="006C0638"/>
    <w:rsid w:val="006C358C"/>
    <w:rsid w:val="006C5B43"/>
    <w:rsid w:val="006D30BD"/>
    <w:rsid w:val="006D3461"/>
    <w:rsid w:val="006E1879"/>
    <w:rsid w:val="006E3F7C"/>
    <w:rsid w:val="006E44E2"/>
    <w:rsid w:val="006F6AC2"/>
    <w:rsid w:val="007012B8"/>
    <w:rsid w:val="00703D8D"/>
    <w:rsid w:val="00706825"/>
    <w:rsid w:val="007106E8"/>
    <w:rsid w:val="00711E23"/>
    <w:rsid w:val="007131CE"/>
    <w:rsid w:val="007163A1"/>
    <w:rsid w:val="007224C7"/>
    <w:rsid w:val="007249DC"/>
    <w:rsid w:val="00725EFC"/>
    <w:rsid w:val="00727C1D"/>
    <w:rsid w:val="00731D4C"/>
    <w:rsid w:val="0073424C"/>
    <w:rsid w:val="00742F1D"/>
    <w:rsid w:val="0074504C"/>
    <w:rsid w:val="007532B3"/>
    <w:rsid w:val="00756113"/>
    <w:rsid w:val="0076105C"/>
    <w:rsid w:val="00766F5B"/>
    <w:rsid w:val="00770A24"/>
    <w:rsid w:val="00770DC6"/>
    <w:rsid w:val="00774025"/>
    <w:rsid w:val="007775EE"/>
    <w:rsid w:val="00781046"/>
    <w:rsid w:val="00781A15"/>
    <w:rsid w:val="00781F22"/>
    <w:rsid w:val="00791094"/>
    <w:rsid w:val="00796F60"/>
    <w:rsid w:val="007A17F9"/>
    <w:rsid w:val="007A796A"/>
    <w:rsid w:val="007B0865"/>
    <w:rsid w:val="007C4B94"/>
    <w:rsid w:val="007C5AED"/>
    <w:rsid w:val="007C6442"/>
    <w:rsid w:val="007C7FAD"/>
    <w:rsid w:val="007D5C04"/>
    <w:rsid w:val="007D67E3"/>
    <w:rsid w:val="00802557"/>
    <w:rsid w:val="00803A20"/>
    <w:rsid w:val="00804786"/>
    <w:rsid w:val="008050CD"/>
    <w:rsid w:val="008078AD"/>
    <w:rsid w:val="00810BB4"/>
    <w:rsid w:val="008120FA"/>
    <w:rsid w:val="00812292"/>
    <w:rsid w:val="0082371F"/>
    <w:rsid w:val="00824819"/>
    <w:rsid w:val="008279E7"/>
    <w:rsid w:val="008304A0"/>
    <w:rsid w:val="0083349D"/>
    <w:rsid w:val="00833A88"/>
    <w:rsid w:val="00834BB2"/>
    <w:rsid w:val="0083599B"/>
    <w:rsid w:val="00845C2C"/>
    <w:rsid w:val="00847FFB"/>
    <w:rsid w:val="00850955"/>
    <w:rsid w:val="00861930"/>
    <w:rsid w:val="00867083"/>
    <w:rsid w:val="00870C60"/>
    <w:rsid w:val="00874184"/>
    <w:rsid w:val="008744D5"/>
    <w:rsid w:val="008748F4"/>
    <w:rsid w:val="00875A41"/>
    <w:rsid w:val="00877AC8"/>
    <w:rsid w:val="008918DA"/>
    <w:rsid w:val="0089331A"/>
    <w:rsid w:val="00893E9E"/>
    <w:rsid w:val="00895735"/>
    <w:rsid w:val="0089592C"/>
    <w:rsid w:val="00895B81"/>
    <w:rsid w:val="00895CCF"/>
    <w:rsid w:val="008972A1"/>
    <w:rsid w:val="008A41D2"/>
    <w:rsid w:val="008A45D7"/>
    <w:rsid w:val="008A6478"/>
    <w:rsid w:val="008B25CB"/>
    <w:rsid w:val="008B5D48"/>
    <w:rsid w:val="008B7739"/>
    <w:rsid w:val="008C6C39"/>
    <w:rsid w:val="008D117A"/>
    <w:rsid w:val="008D14B0"/>
    <w:rsid w:val="008D483B"/>
    <w:rsid w:val="008D6FF9"/>
    <w:rsid w:val="008E7447"/>
    <w:rsid w:val="008F0700"/>
    <w:rsid w:val="008F2822"/>
    <w:rsid w:val="008F2D26"/>
    <w:rsid w:val="00900183"/>
    <w:rsid w:val="009009AD"/>
    <w:rsid w:val="00903F90"/>
    <w:rsid w:val="0090509A"/>
    <w:rsid w:val="00910906"/>
    <w:rsid w:val="00912778"/>
    <w:rsid w:val="00913BAA"/>
    <w:rsid w:val="009216B7"/>
    <w:rsid w:val="009239A3"/>
    <w:rsid w:val="00945F16"/>
    <w:rsid w:val="00952CF6"/>
    <w:rsid w:val="00957373"/>
    <w:rsid w:val="009757A3"/>
    <w:rsid w:val="00981C9A"/>
    <w:rsid w:val="009825F4"/>
    <w:rsid w:val="00985E98"/>
    <w:rsid w:val="00986193"/>
    <w:rsid w:val="009863CE"/>
    <w:rsid w:val="00986B63"/>
    <w:rsid w:val="00992869"/>
    <w:rsid w:val="00995F31"/>
    <w:rsid w:val="009B2C84"/>
    <w:rsid w:val="009C1D6B"/>
    <w:rsid w:val="009C28CD"/>
    <w:rsid w:val="009C6B35"/>
    <w:rsid w:val="009D165B"/>
    <w:rsid w:val="009D613E"/>
    <w:rsid w:val="009E1566"/>
    <w:rsid w:val="009E33C0"/>
    <w:rsid w:val="009F16DA"/>
    <w:rsid w:val="009F1E92"/>
    <w:rsid w:val="009F45D9"/>
    <w:rsid w:val="009F549D"/>
    <w:rsid w:val="00A00231"/>
    <w:rsid w:val="00A0089D"/>
    <w:rsid w:val="00A15C45"/>
    <w:rsid w:val="00A16AF0"/>
    <w:rsid w:val="00A277B1"/>
    <w:rsid w:val="00A30723"/>
    <w:rsid w:val="00A31833"/>
    <w:rsid w:val="00A32B24"/>
    <w:rsid w:val="00A3476A"/>
    <w:rsid w:val="00A358DE"/>
    <w:rsid w:val="00A369DD"/>
    <w:rsid w:val="00A37B6A"/>
    <w:rsid w:val="00A402E5"/>
    <w:rsid w:val="00A55878"/>
    <w:rsid w:val="00A637ED"/>
    <w:rsid w:val="00A64338"/>
    <w:rsid w:val="00A6486F"/>
    <w:rsid w:val="00A711EA"/>
    <w:rsid w:val="00A735BD"/>
    <w:rsid w:val="00A7706B"/>
    <w:rsid w:val="00A77DF4"/>
    <w:rsid w:val="00A8085F"/>
    <w:rsid w:val="00A86DAB"/>
    <w:rsid w:val="00A87ED4"/>
    <w:rsid w:val="00A946C8"/>
    <w:rsid w:val="00AA4505"/>
    <w:rsid w:val="00AA50E4"/>
    <w:rsid w:val="00AB7B75"/>
    <w:rsid w:val="00AC1204"/>
    <w:rsid w:val="00AC631C"/>
    <w:rsid w:val="00AC79B3"/>
    <w:rsid w:val="00AC79CF"/>
    <w:rsid w:val="00AD6BDA"/>
    <w:rsid w:val="00AE4176"/>
    <w:rsid w:val="00AE4B47"/>
    <w:rsid w:val="00AF01A8"/>
    <w:rsid w:val="00AF54E5"/>
    <w:rsid w:val="00AF6719"/>
    <w:rsid w:val="00AF7A48"/>
    <w:rsid w:val="00B06BB9"/>
    <w:rsid w:val="00B13CCB"/>
    <w:rsid w:val="00B14ECD"/>
    <w:rsid w:val="00B159C2"/>
    <w:rsid w:val="00B176CE"/>
    <w:rsid w:val="00B2241C"/>
    <w:rsid w:val="00B228C1"/>
    <w:rsid w:val="00B236CB"/>
    <w:rsid w:val="00B36549"/>
    <w:rsid w:val="00B37540"/>
    <w:rsid w:val="00B40312"/>
    <w:rsid w:val="00B476EF"/>
    <w:rsid w:val="00B47AAF"/>
    <w:rsid w:val="00B52839"/>
    <w:rsid w:val="00B56330"/>
    <w:rsid w:val="00B57324"/>
    <w:rsid w:val="00B62B9C"/>
    <w:rsid w:val="00B63BB8"/>
    <w:rsid w:val="00B65908"/>
    <w:rsid w:val="00B666C2"/>
    <w:rsid w:val="00B6688F"/>
    <w:rsid w:val="00B66EE0"/>
    <w:rsid w:val="00B71574"/>
    <w:rsid w:val="00B76232"/>
    <w:rsid w:val="00B83692"/>
    <w:rsid w:val="00B84868"/>
    <w:rsid w:val="00B86E7E"/>
    <w:rsid w:val="00B93763"/>
    <w:rsid w:val="00B95335"/>
    <w:rsid w:val="00B9771A"/>
    <w:rsid w:val="00BA09C0"/>
    <w:rsid w:val="00BA2211"/>
    <w:rsid w:val="00BA4AB2"/>
    <w:rsid w:val="00BB019C"/>
    <w:rsid w:val="00BB16E5"/>
    <w:rsid w:val="00BB3D27"/>
    <w:rsid w:val="00BB6010"/>
    <w:rsid w:val="00BB7737"/>
    <w:rsid w:val="00BC04E8"/>
    <w:rsid w:val="00BC176B"/>
    <w:rsid w:val="00BC2EF2"/>
    <w:rsid w:val="00BC5DA4"/>
    <w:rsid w:val="00BC74E7"/>
    <w:rsid w:val="00BE2F1E"/>
    <w:rsid w:val="00BE4408"/>
    <w:rsid w:val="00BE4BCB"/>
    <w:rsid w:val="00BE55EA"/>
    <w:rsid w:val="00BF0A32"/>
    <w:rsid w:val="00C03570"/>
    <w:rsid w:val="00C13A56"/>
    <w:rsid w:val="00C14DF0"/>
    <w:rsid w:val="00C20E50"/>
    <w:rsid w:val="00C23487"/>
    <w:rsid w:val="00C24E0D"/>
    <w:rsid w:val="00C25ECF"/>
    <w:rsid w:val="00C25F03"/>
    <w:rsid w:val="00C27BE9"/>
    <w:rsid w:val="00C316D2"/>
    <w:rsid w:val="00C3293B"/>
    <w:rsid w:val="00C33A85"/>
    <w:rsid w:val="00C40163"/>
    <w:rsid w:val="00C40757"/>
    <w:rsid w:val="00C411E7"/>
    <w:rsid w:val="00C47D5B"/>
    <w:rsid w:val="00C51058"/>
    <w:rsid w:val="00C5486A"/>
    <w:rsid w:val="00C55685"/>
    <w:rsid w:val="00C57054"/>
    <w:rsid w:val="00C577FE"/>
    <w:rsid w:val="00C57C06"/>
    <w:rsid w:val="00C747C8"/>
    <w:rsid w:val="00C74F12"/>
    <w:rsid w:val="00C76F76"/>
    <w:rsid w:val="00C83BCA"/>
    <w:rsid w:val="00C900E6"/>
    <w:rsid w:val="00C911AC"/>
    <w:rsid w:val="00C92D65"/>
    <w:rsid w:val="00C975B9"/>
    <w:rsid w:val="00CA0062"/>
    <w:rsid w:val="00CA4048"/>
    <w:rsid w:val="00CA6ADA"/>
    <w:rsid w:val="00CB0928"/>
    <w:rsid w:val="00CB4721"/>
    <w:rsid w:val="00CB6D35"/>
    <w:rsid w:val="00CB7572"/>
    <w:rsid w:val="00CC0AA4"/>
    <w:rsid w:val="00CC0FB0"/>
    <w:rsid w:val="00CC114E"/>
    <w:rsid w:val="00CC2493"/>
    <w:rsid w:val="00CC2532"/>
    <w:rsid w:val="00CC4749"/>
    <w:rsid w:val="00CC5B4E"/>
    <w:rsid w:val="00CC7D83"/>
    <w:rsid w:val="00CD2933"/>
    <w:rsid w:val="00CD4C02"/>
    <w:rsid w:val="00CF024F"/>
    <w:rsid w:val="00CF0EA2"/>
    <w:rsid w:val="00D00481"/>
    <w:rsid w:val="00D00DDE"/>
    <w:rsid w:val="00D10CCB"/>
    <w:rsid w:val="00D16C7D"/>
    <w:rsid w:val="00D17A43"/>
    <w:rsid w:val="00D203B7"/>
    <w:rsid w:val="00D2235A"/>
    <w:rsid w:val="00D23C98"/>
    <w:rsid w:val="00D257B4"/>
    <w:rsid w:val="00D32E70"/>
    <w:rsid w:val="00D33E7A"/>
    <w:rsid w:val="00D35E02"/>
    <w:rsid w:val="00D401FE"/>
    <w:rsid w:val="00D44553"/>
    <w:rsid w:val="00D446B3"/>
    <w:rsid w:val="00D4499A"/>
    <w:rsid w:val="00D46A9E"/>
    <w:rsid w:val="00D51C0F"/>
    <w:rsid w:val="00D52503"/>
    <w:rsid w:val="00D5476B"/>
    <w:rsid w:val="00D56D23"/>
    <w:rsid w:val="00D62934"/>
    <w:rsid w:val="00D63CC2"/>
    <w:rsid w:val="00D64162"/>
    <w:rsid w:val="00D64A1C"/>
    <w:rsid w:val="00D730BA"/>
    <w:rsid w:val="00D7557C"/>
    <w:rsid w:val="00D77B6C"/>
    <w:rsid w:val="00D93526"/>
    <w:rsid w:val="00D94FA1"/>
    <w:rsid w:val="00D955A6"/>
    <w:rsid w:val="00D9592B"/>
    <w:rsid w:val="00DA1963"/>
    <w:rsid w:val="00DA3BC9"/>
    <w:rsid w:val="00DA6A21"/>
    <w:rsid w:val="00DB0AE7"/>
    <w:rsid w:val="00DB25C4"/>
    <w:rsid w:val="00DB6743"/>
    <w:rsid w:val="00DC4BBF"/>
    <w:rsid w:val="00DC58BE"/>
    <w:rsid w:val="00DC6CDD"/>
    <w:rsid w:val="00DD03EA"/>
    <w:rsid w:val="00DD06A4"/>
    <w:rsid w:val="00DD3B80"/>
    <w:rsid w:val="00DD435A"/>
    <w:rsid w:val="00DE56EE"/>
    <w:rsid w:val="00DE799F"/>
    <w:rsid w:val="00DE7EC4"/>
    <w:rsid w:val="00DF0F5A"/>
    <w:rsid w:val="00DF5FB2"/>
    <w:rsid w:val="00DF6394"/>
    <w:rsid w:val="00E017D8"/>
    <w:rsid w:val="00E2077E"/>
    <w:rsid w:val="00E23228"/>
    <w:rsid w:val="00E232DF"/>
    <w:rsid w:val="00E271E9"/>
    <w:rsid w:val="00E27779"/>
    <w:rsid w:val="00E3072D"/>
    <w:rsid w:val="00E325D5"/>
    <w:rsid w:val="00E33AFA"/>
    <w:rsid w:val="00E4278E"/>
    <w:rsid w:val="00E66748"/>
    <w:rsid w:val="00E728D8"/>
    <w:rsid w:val="00E80257"/>
    <w:rsid w:val="00E83476"/>
    <w:rsid w:val="00E8663F"/>
    <w:rsid w:val="00E920A0"/>
    <w:rsid w:val="00EA5F95"/>
    <w:rsid w:val="00EA79BB"/>
    <w:rsid w:val="00EB300D"/>
    <w:rsid w:val="00EC4DE1"/>
    <w:rsid w:val="00EC71FF"/>
    <w:rsid w:val="00ED2B92"/>
    <w:rsid w:val="00EE0593"/>
    <w:rsid w:val="00EE0A10"/>
    <w:rsid w:val="00EE1388"/>
    <w:rsid w:val="00EF12A0"/>
    <w:rsid w:val="00EF6D32"/>
    <w:rsid w:val="00EF726D"/>
    <w:rsid w:val="00F002B5"/>
    <w:rsid w:val="00F03508"/>
    <w:rsid w:val="00F07163"/>
    <w:rsid w:val="00F112AF"/>
    <w:rsid w:val="00F13C4E"/>
    <w:rsid w:val="00F15600"/>
    <w:rsid w:val="00F177CC"/>
    <w:rsid w:val="00F21C6F"/>
    <w:rsid w:val="00F2213B"/>
    <w:rsid w:val="00F22E96"/>
    <w:rsid w:val="00F31429"/>
    <w:rsid w:val="00F3598C"/>
    <w:rsid w:val="00F36474"/>
    <w:rsid w:val="00F37772"/>
    <w:rsid w:val="00F37EC1"/>
    <w:rsid w:val="00F4072E"/>
    <w:rsid w:val="00F40DB7"/>
    <w:rsid w:val="00F45BC0"/>
    <w:rsid w:val="00F507CD"/>
    <w:rsid w:val="00F51035"/>
    <w:rsid w:val="00F55D03"/>
    <w:rsid w:val="00F571B2"/>
    <w:rsid w:val="00F65088"/>
    <w:rsid w:val="00F71183"/>
    <w:rsid w:val="00F71933"/>
    <w:rsid w:val="00F74961"/>
    <w:rsid w:val="00F77531"/>
    <w:rsid w:val="00F8081E"/>
    <w:rsid w:val="00F86886"/>
    <w:rsid w:val="00F9079F"/>
    <w:rsid w:val="00F919BD"/>
    <w:rsid w:val="00F931AD"/>
    <w:rsid w:val="00F94CBD"/>
    <w:rsid w:val="00FA39D3"/>
    <w:rsid w:val="00FB006A"/>
    <w:rsid w:val="00FB4C16"/>
    <w:rsid w:val="00FB5243"/>
    <w:rsid w:val="00FC0E07"/>
    <w:rsid w:val="00FD052D"/>
    <w:rsid w:val="00FD1C88"/>
    <w:rsid w:val="00FD7069"/>
    <w:rsid w:val="00FE23A1"/>
    <w:rsid w:val="00FE2E3A"/>
    <w:rsid w:val="00FE3CA1"/>
    <w:rsid w:val="00FE78EC"/>
    <w:rsid w:val="00FF469C"/>
    <w:rsid w:val="00FF48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DD9EB"/>
  <w15:chartTrackingRefBased/>
  <w15:docId w15:val="{089FEADD-7FBB-44BA-BAEC-C6C15364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222"/>
    <w:pPr>
      <w:spacing w:after="0" w:line="240" w:lineRule="auto"/>
    </w:pPr>
    <w:rPr>
      <w:sz w:val="24"/>
      <w:szCs w:val="24"/>
      <w:lang w:val="fr-FR"/>
    </w:rPr>
  </w:style>
  <w:style w:type="paragraph" w:styleId="Titre6">
    <w:name w:val="heading 6"/>
    <w:basedOn w:val="Normal"/>
    <w:link w:val="Titre6Car"/>
    <w:uiPriority w:val="9"/>
    <w:qFormat/>
    <w:rsid w:val="00FD1C88"/>
    <w:pPr>
      <w:spacing w:before="100" w:beforeAutospacing="1" w:after="100" w:afterAutospacing="1"/>
      <w:outlineLvl w:val="5"/>
    </w:pPr>
    <w:rPr>
      <w:rFonts w:ascii="Times New Roman" w:eastAsia="Times New Roman" w:hAnsi="Times New Roman" w:cs="Times New Roman"/>
      <w:b/>
      <w:bCs/>
      <w:sz w:val="15"/>
      <w:szCs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2222"/>
    <w:pPr>
      <w:tabs>
        <w:tab w:val="center" w:pos="4536"/>
        <w:tab w:val="right" w:pos="9072"/>
      </w:tabs>
    </w:pPr>
  </w:style>
  <w:style w:type="character" w:customStyle="1" w:styleId="En-tteCar">
    <w:name w:val="En-tête Car"/>
    <w:basedOn w:val="Policepardfaut"/>
    <w:link w:val="En-tte"/>
    <w:uiPriority w:val="99"/>
    <w:rsid w:val="00412222"/>
    <w:rPr>
      <w:sz w:val="24"/>
      <w:szCs w:val="24"/>
    </w:rPr>
  </w:style>
  <w:style w:type="paragraph" w:styleId="Pieddepage">
    <w:name w:val="footer"/>
    <w:basedOn w:val="Normal"/>
    <w:link w:val="PieddepageCar"/>
    <w:uiPriority w:val="99"/>
    <w:unhideWhenUsed/>
    <w:rsid w:val="00412222"/>
    <w:pPr>
      <w:tabs>
        <w:tab w:val="center" w:pos="4536"/>
        <w:tab w:val="right" w:pos="9072"/>
      </w:tabs>
    </w:pPr>
  </w:style>
  <w:style w:type="character" w:customStyle="1" w:styleId="PieddepageCar">
    <w:name w:val="Pied de page Car"/>
    <w:basedOn w:val="Policepardfaut"/>
    <w:link w:val="Pieddepage"/>
    <w:uiPriority w:val="99"/>
    <w:rsid w:val="00412222"/>
    <w:rPr>
      <w:sz w:val="24"/>
      <w:szCs w:val="24"/>
    </w:rPr>
  </w:style>
  <w:style w:type="character" w:styleId="Lienhypertexte">
    <w:name w:val="Hyperlink"/>
    <w:basedOn w:val="Policepardfaut"/>
    <w:uiPriority w:val="99"/>
    <w:unhideWhenUsed/>
    <w:rsid w:val="00412222"/>
    <w:rPr>
      <w:color w:val="0000FF"/>
      <w:u w:val="single"/>
    </w:rPr>
  </w:style>
  <w:style w:type="paragraph" w:customStyle="1" w:styleId="Default">
    <w:name w:val="Default"/>
    <w:qFormat/>
    <w:rsid w:val="00412222"/>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F4072E"/>
    <w:pPr>
      <w:ind w:left="720"/>
      <w:contextualSpacing/>
    </w:pPr>
  </w:style>
  <w:style w:type="character" w:styleId="Marquedecommentaire">
    <w:name w:val="annotation reference"/>
    <w:basedOn w:val="Policepardfaut"/>
    <w:uiPriority w:val="99"/>
    <w:semiHidden/>
    <w:unhideWhenUsed/>
    <w:rsid w:val="00B62B9C"/>
    <w:rPr>
      <w:sz w:val="16"/>
      <w:szCs w:val="16"/>
    </w:rPr>
  </w:style>
  <w:style w:type="paragraph" w:styleId="Commentaire">
    <w:name w:val="annotation text"/>
    <w:basedOn w:val="Normal"/>
    <w:link w:val="CommentaireCar"/>
    <w:uiPriority w:val="99"/>
    <w:semiHidden/>
    <w:unhideWhenUsed/>
    <w:rsid w:val="00B62B9C"/>
    <w:rPr>
      <w:sz w:val="20"/>
      <w:szCs w:val="20"/>
    </w:rPr>
  </w:style>
  <w:style w:type="character" w:customStyle="1" w:styleId="CommentaireCar">
    <w:name w:val="Commentaire Car"/>
    <w:basedOn w:val="Policepardfaut"/>
    <w:link w:val="Commentaire"/>
    <w:uiPriority w:val="99"/>
    <w:semiHidden/>
    <w:rsid w:val="00B62B9C"/>
    <w:rPr>
      <w:sz w:val="20"/>
      <w:szCs w:val="20"/>
    </w:rPr>
  </w:style>
  <w:style w:type="paragraph" w:styleId="Objetducommentaire">
    <w:name w:val="annotation subject"/>
    <w:basedOn w:val="Commentaire"/>
    <w:next w:val="Commentaire"/>
    <w:link w:val="ObjetducommentaireCar"/>
    <w:uiPriority w:val="99"/>
    <w:semiHidden/>
    <w:unhideWhenUsed/>
    <w:rsid w:val="00B62B9C"/>
    <w:rPr>
      <w:b/>
      <w:bCs/>
    </w:rPr>
  </w:style>
  <w:style w:type="character" w:customStyle="1" w:styleId="ObjetducommentaireCar">
    <w:name w:val="Objet du commentaire Car"/>
    <w:basedOn w:val="CommentaireCar"/>
    <w:link w:val="Objetducommentaire"/>
    <w:uiPriority w:val="99"/>
    <w:semiHidden/>
    <w:rsid w:val="00B62B9C"/>
    <w:rPr>
      <w:b/>
      <w:bCs/>
      <w:sz w:val="20"/>
      <w:szCs w:val="20"/>
    </w:rPr>
  </w:style>
  <w:style w:type="paragraph" w:styleId="Textedebulles">
    <w:name w:val="Balloon Text"/>
    <w:basedOn w:val="Normal"/>
    <w:link w:val="TextedebullesCar"/>
    <w:uiPriority w:val="99"/>
    <w:semiHidden/>
    <w:unhideWhenUsed/>
    <w:rsid w:val="00B62B9C"/>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2B9C"/>
    <w:rPr>
      <w:rFonts w:ascii="Segoe UI" w:hAnsi="Segoe UI" w:cs="Segoe UI"/>
      <w:sz w:val="18"/>
      <w:szCs w:val="18"/>
    </w:rPr>
  </w:style>
  <w:style w:type="character" w:styleId="Lienhypertextesuivivisit">
    <w:name w:val="FollowedHyperlink"/>
    <w:basedOn w:val="Policepardfaut"/>
    <w:uiPriority w:val="99"/>
    <w:semiHidden/>
    <w:unhideWhenUsed/>
    <w:rsid w:val="00B2241C"/>
    <w:rPr>
      <w:color w:val="954F72" w:themeColor="followedHyperlink"/>
      <w:u w:val="single"/>
    </w:rPr>
  </w:style>
  <w:style w:type="paragraph" w:styleId="Notedebasdepage">
    <w:name w:val="footnote text"/>
    <w:basedOn w:val="Normal"/>
    <w:link w:val="NotedebasdepageCar"/>
    <w:uiPriority w:val="99"/>
    <w:semiHidden/>
    <w:unhideWhenUsed/>
    <w:rsid w:val="00711E23"/>
    <w:rPr>
      <w:sz w:val="20"/>
      <w:szCs w:val="20"/>
    </w:rPr>
  </w:style>
  <w:style w:type="character" w:customStyle="1" w:styleId="NotedebasdepageCar">
    <w:name w:val="Note de bas de page Car"/>
    <w:basedOn w:val="Policepardfaut"/>
    <w:link w:val="Notedebasdepage"/>
    <w:uiPriority w:val="99"/>
    <w:semiHidden/>
    <w:rsid w:val="00711E23"/>
    <w:rPr>
      <w:sz w:val="20"/>
      <w:szCs w:val="20"/>
    </w:rPr>
  </w:style>
  <w:style w:type="character" w:styleId="Appelnotedebasdep">
    <w:name w:val="footnote reference"/>
    <w:basedOn w:val="Policepardfaut"/>
    <w:uiPriority w:val="99"/>
    <w:semiHidden/>
    <w:unhideWhenUsed/>
    <w:rsid w:val="00711E23"/>
    <w:rPr>
      <w:vertAlign w:val="superscript"/>
    </w:rPr>
  </w:style>
  <w:style w:type="table" w:styleId="Grilledutableau">
    <w:name w:val="Table Grid"/>
    <w:basedOn w:val="TableauNormal"/>
    <w:uiPriority w:val="39"/>
    <w:rsid w:val="00E427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3775C"/>
    <w:pPr>
      <w:spacing w:after="0" w:line="240" w:lineRule="auto"/>
    </w:pPr>
    <w:rPr>
      <w:sz w:val="24"/>
      <w:szCs w:val="24"/>
    </w:rPr>
  </w:style>
  <w:style w:type="character" w:customStyle="1" w:styleId="Mentionnonrsolue1">
    <w:name w:val="Mention non résolue1"/>
    <w:basedOn w:val="Policepardfaut"/>
    <w:uiPriority w:val="99"/>
    <w:semiHidden/>
    <w:unhideWhenUsed/>
    <w:rsid w:val="00FD1C88"/>
    <w:rPr>
      <w:color w:val="605E5C"/>
      <w:shd w:val="clear" w:color="auto" w:fill="E1DFDD"/>
    </w:rPr>
  </w:style>
  <w:style w:type="paragraph" w:styleId="PrformatHTML">
    <w:name w:val="HTML Preformatted"/>
    <w:basedOn w:val="Normal"/>
    <w:link w:val="PrformatHTMLCar"/>
    <w:uiPriority w:val="99"/>
    <w:unhideWhenUsed/>
    <w:rsid w:val="00FD1C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FD1C88"/>
    <w:rPr>
      <w:rFonts w:ascii="Courier New" w:eastAsia="Times New Roman" w:hAnsi="Courier New" w:cs="Courier New"/>
      <w:sz w:val="20"/>
      <w:szCs w:val="20"/>
      <w:lang w:eastAsia="fr-FR"/>
    </w:rPr>
  </w:style>
  <w:style w:type="character" w:customStyle="1" w:styleId="y2iqfc">
    <w:name w:val="y2iqfc"/>
    <w:basedOn w:val="Policepardfaut"/>
    <w:rsid w:val="00FD1C88"/>
  </w:style>
  <w:style w:type="character" w:customStyle="1" w:styleId="Titre6Car">
    <w:name w:val="Titre 6 Car"/>
    <w:basedOn w:val="Policepardfaut"/>
    <w:link w:val="Titre6"/>
    <w:uiPriority w:val="9"/>
    <w:rsid w:val="00FD1C88"/>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FD1C88"/>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FD1C88"/>
    <w:rPr>
      <w:i/>
      <w:iCs/>
    </w:rPr>
  </w:style>
  <w:style w:type="paragraph" w:customStyle="1" w:styleId="topic-list-item">
    <w:name w:val="topic-list-item"/>
    <w:basedOn w:val="Normal"/>
    <w:rsid w:val="00FD1C88"/>
    <w:pPr>
      <w:spacing w:before="100" w:beforeAutospacing="1" w:after="100" w:afterAutospacing="1"/>
    </w:pPr>
    <w:rPr>
      <w:rFonts w:ascii="Times New Roman" w:eastAsia="Times New Roman" w:hAnsi="Times New Roman" w:cs="Times New Roman"/>
      <w:lang w:eastAsia="fr-FR"/>
    </w:rPr>
  </w:style>
  <w:style w:type="paragraph" w:customStyle="1" w:styleId="muitypographyroot-0-1-203">
    <w:name w:val="muitypographyroot-0-1-203"/>
    <w:basedOn w:val="Normal"/>
    <w:rsid w:val="00FD1C88"/>
    <w:pPr>
      <w:spacing w:before="100" w:beforeAutospacing="1" w:after="100" w:afterAutospacing="1"/>
    </w:pPr>
    <w:rPr>
      <w:rFonts w:ascii="Times New Roman" w:eastAsia="Times New Roman" w:hAnsi="Times New Roman" w:cs="Times New Roman"/>
      <w:lang w:eastAsia="fr-FR"/>
    </w:rPr>
  </w:style>
  <w:style w:type="character" w:styleId="lev">
    <w:name w:val="Strong"/>
    <w:basedOn w:val="Policepardfaut"/>
    <w:uiPriority w:val="22"/>
    <w:qFormat/>
    <w:rsid w:val="00727C1D"/>
    <w:rPr>
      <w:b/>
      <w:bCs/>
    </w:rPr>
  </w:style>
  <w:style w:type="character" w:customStyle="1" w:styleId="aucun">
    <w:name w:val="aucun"/>
    <w:basedOn w:val="Policepardfaut"/>
    <w:rsid w:val="00727C1D"/>
  </w:style>
  <w:style w:type="paragraph" w:customStyle="1" w:styleId="Corps">
    <w:name w:val="Corps"/>
    <w:rsid w:val="00C57054"/>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fr-FR"/>
    </w:rPr>
  </w:style>
  <w:style w:type="character" w:customStyle="1" w:styleId="Mentionnonrsolue2">
    <w:name w:val="Mention non résolue2"/>
    <w:basedOn w:val="Policepardfaut"/>
    <w:uiPriority w:val="99"/>
    <w:semiHidden/>
    <w:unhideWhenUsed/>
    <w:rsid w:val="00A86DAB"/>
    <w:rPr>
      <w:color w:val="605E5C"/>
      <w:shd w:val="clear" w:color="auto" w:fill="E1DFDD"/>
    </w:rPr>
  </w:style>
  <w:style w:type="paragraph" w:customStyle="1" w:styleId="paragraphestandard">
    <w:name w:val="paragraphestandard"/>
    <w:basedOn w:val="Normal"/>
    <w:rsid w:val="005701A1"/>
    <w:pPr>
      <w:spacing w:before="100" w:beforeAutospacing="1" w:after="100" w:afterAutospacing="1"/>
    </w:pPr>
    <w:rPr>
      <w:rFonts w:ascii="Times New Roman" w:eastAsia="Times New Roman" w:hAnsi="Times New Roman" w:cs="Times New Roman"/>
      <w:lang w:eastAsia="fr-FR"/>
    </w:rPr>
  </w:style>
  <w:style w:type="character" w:customStyle="1" w:styleId="object">
    <w:name w:val="object"/>
    <w:basedOn w:val="Policepardfaut"/>
    <w:rsid w:val="005701A1"/>
  </w:style>
  <w:style w:type="character" w:customStyle="1" w:styleId="Mentionnonrsolue3">
    <w:name w:val="Mention non résolue3"/>
    <w:basedOn w:val="Policepardfaut"/>
    <w:uiPriority w:val="99"/>
    <w:semiHidden/>
    <w:unhideWhenUsed/>
    <w:rsid w:val="005701A1"/>
    <w:rPr>
      <w:color w:val="605E5C"/>
      <w:shd w:val="clear" w:color="auto" w:fill="E1DFDD"/>
    </w:rPr>
  </w:style>
  <w:style w:type="paragraph" w:customStyle="1" w:styleId="1TxtCourantAP">
    <w:name w:val="1.TxtCourant AP"/>
    <w:link w:val="1TxtCourantAPCar"/>
    <w:qFormat/>
    <w:rsid w:val="00C27BE9"/>
    <w:pPr>
      <w:spacing w:after="120" w:line="240" w:lineRule="auto"/>
    </w:pPr>
    <w:rPr>
      <w:rFonts w:asciiTheme="majorHAnsi" w:hAnsiTheme="majorHAnsi" w:cstheme="majorHAnsi"/>
      <w:kern w:val="2"/>
      <w:lang w:val="fr-FR"/>
      <w14:ligatures w14:val="standardContextual"/>
    </w:rPr>
  </w:style>
  <w:style w:type="character" w:customStyle="1" w:styleId="1TxtCourantAPCar">
    <w:name w:val="1.TxtCourant AP Car"/>
    <w:basedOn w:val="Policepardfaut"/>
    <w:link w:val="1TxtCourantAP"/>
    <w:rsid w:val="00C27BE9"/>
    <w:rPr>
      <w:rFonts w:asciiTheme="majorHAnsi" w:hAnsiTheme="majorHAnsi" w:cstheme="majorHAnsi"/>
      <w:kern w:val="2"/>
      <w:lang w:val="fr-FR"/>
      <w14:ligatures w14:val="standardContextual"/>
    </w:rPr>
  </w:style>
  <w:style w:type="character" w:customStyle="1" w:styleId="UnresolvedMention">
    <w:name w:val="Unresolved Mention"/>
    <w:basedOn w:val="Policepardfaut"/>
    <w:uiPriority w:val="99"/>
    <w:semiHidden/>
    <w:unhideWhenUsed/>
    <w:rsid w:val="00036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0432">
      <w:bodyDiv w:val="1"/>
      <w:marLeft w:val="0"/>
      <w:marRight w:val="0"/>
      <w:marTop w:val="0"/>
      <w:marBottom w:val="0"/>
      <w:divBdr>
        <w:top w:val="none" w:sz="0" w:space="0" w:color="auto"/>
        <w:left w:val="none" w:sz="0" w:space="0" w:color="auto"/>
        <w:bottom w:val="none" w:sz="0" w:space="0" w:color="auto"/>
        <w:right w:val="none" w:sz="0" w:space="0" w:color="auto"/>
      </w:divBdr>
    </w:div>
    <w:div w:id="204146228">
      <w:bodyDiv w:val="1"/>
      <w:marLeft w:val="0"/>
      <w:marRight w:val="0"/>
      <w:marTop w:val="0"/>
      <w:marBottom w:val="0"/>
      <w:divBdr>
        <w:top w:val="none" w:sz="0" w:space="0" w:color="auto"/>
        <w:left w:val="none" w:sz="0" w:space="0" w:color="auto"/>
        <w:bottom w:val="none" w:sz="0" w:space="0" w:color="auto"/>
        <w:right w:val="none" w:sz="0" w:space="0" w:color="auto"/>
      </w:divBdr>
      <w:divsChild>
        <w:div w:id="1359547477">
          <w:marLeft w:val="0"/>
          <w:marRight w:val="0"/>
          <w:marTop w:val="0"/>
          <w:marBottom w:val="0"/>
          <w:divBdr>
            <w:top w:val="none" w:sz="0" w:space="0" w:color="auto"/>
            <w:left w:val="none" w:sz="0" w:space="0" w:color="auto"/>
            <w:bottom w:val="none" w:sz="0" w:space="0" w:color="auto"/>
            <w:right w:val="none" w:sz="0" w:space="0" w:color="auto"/>
          </w:divBdr>
        </w:div>
        <w:div w:id="1308049990">
          <w:marLeft w:val="0"/>
          <w:marRight w:val="0"/>
          <w:marTop w:val="0"/>
          <w:marBottom w:val="0"/>
          <w:divBdr>
            <w:top w:val="none" w:sz="0" w:space="0" w:color="auto"/>
            <w:left w:val="none" w:sz="0" w:space="0" w:color="auto"/>
            <w:bottom w:val="none" w:sz="0" w:space="0" w:color="auto"/>
            <w:right w:val="none" w:sz="0" w:space="0" w:color="auto"/>
          </w:divBdr>
          <w:divsChild>
            <w:div w:id="47805470">
              <w:marLeft w:val="0"/>
              <w:marRight w:val="0"/>
              <w:marTop w:val="0"/>
              <w:marBottom w:val="0"/>
              <w:divBdr>
                <w:top w:val="none" w:sz="0" w:space="0" w:color="auto"/>
                <w:left w:val="none" w:sz="0" w:space="0" w:color="auto"/>
                <w:bottom w:val="none" w:sz="0" w:space="0" w:color="auto"/>
                <w:right w:val="none" w:sz="0" w:space="0" w:color="auto"/>
              </w:divBdr>
              <w:divsChild>
                <w:div w:id="233275341">
                  <w:marLeft w:val="0"/>
                  <w:marRight w:val="0"/>
                  <w:marTop w:val="0"/>
                  <w:marBottom w:val="0"/>
                  <w:divBdr>
                    <w:top w:val="none" w:sz="0" w:space="0" w:color="auto"/>
                    <w:left w:val="none" w:sz="0" w:space="0" w:color="auto"/>
                    <w:bottom w:val="none" w:sz="0" w:space="0" w:color="auto"/>
                    <w:right w:val="none" w:sz="0" w:space="0" w:color="auto"/>
                  </w:divBdr>
                  <w:divsChild>
                    <w:div w:id="1165825676">
                      <w:marLeft w:val="0"/>
                      <w:marRight w:val="0"/>
                      <w:marTop w:val="0"/>
                      <w:marBottom w:val="0"/>
                      <w:divBdr>
                        <w:top w:val="none" w:sz="0" w:space="0" w:color="auto"/>
                        <w:left w:val="none" w:sz="0" w:space="0" w:color="auto"/>
                        <w:bottom w:val="none" w:sz="0" w:space="0" w:color="auto"/>
                        <w:right w:val="none" w:sz="0" w:space="0" w:color="auto"/>
                      </w:divBdr>
                      <w:divsChild>
                        <w:div w:id="303049182">
                          <w:marLeft w:val="0"/>
                          <w:marRight w:val="0"/>
                          <w:marTop w:val="0"/>
                          <w:marBottom w:val="0"/>
                          <w:divBdr>
                            <w:top w:val="none" w:sz="0" w:space="0" w:color="auto"/>
                            <w:left w:val="none" w:sz="0" w:space="0" w:color="auto"/>
                            <w:bottom w:val="none" w:sz="0" w:space="0" w:color="auto"/>
                            <w:right w:val="none" w:sz="0" w:space="0" w:color="auto"/>
                          </w:divBdr>
                          <w:divsChild>
                            <w:div w:id="1330252247">
                              <w:marLeft w:val="0"/>
                              <w:marRight w:val="0"/>
                              <w:marTop w:val="0"/>
                              <w:marBottom w:val="0"/>
                              <w:divBdr>
                                <w:top w:val="none" w:sz="0" w:space="0" w:color="auto"/>
                                <w:left w:val="none" w:sz="0" w:space="0" w:color="auto"/>
                                <w:bottom w:val="none" w:sz="0" w:space="0" w:color="auto"/>
                                <w:right w:val="none" w:sz="0" w:space="0" w:color="auto"/>
                              </w:divBdr>
                              <w:divsChild>
                                <w:div w:id="766775539">
                                  <w:marLeft w:val="0"/>
                                  <w:marRight w:val="0"/>
                                  <w:marTop w:val="0"/>
                                  <w:marBottom w:val="0"/>
                                  <w:divBdr>
                                    <w:top w:val="none" w:sz="0" w:space="0" w:color="auto"/>
                                    <w:left w:val="none" w:sz="0" w:space="0" w:color="auto"/>
                                    <w:bottom w:val="none" w:sz="0" w:space="0" w:color="auto"/>
                                    <w:right w:val="none" w:sz="0" w:space="0" w:color="auto"/>
                                  </w:divBdr>
                                  <w:divsChild>
                                    <w:div w:id="1396195971">
                                      <w:marLeft w:val="0"/>
                                      <w:marRight w:val="0"/>
                                      <w:marTop w:val="0"/>
                                      <w:marBottom w:val="0"/>
                                      <w:divBdr>
                                        <w:top w:val="none" w:sz="0" w:space="0" w:color="auto"/>
                                        <w:left w:val="none" w:sz="0" w:space="0" w:color="auto"/>
                                        <w:bottom w:val="none" w:sz="0" w:space="0" w:color="auto"/>
                                        <w:right w:val="none" w:sz="0" w:space="0" w:color="auto"/>
                                      </w:divBdr>
                                      <w:divsChild>
                                        <w:div w:id="1816679819">
                                          <w:marLeft w:val="0"/>
                                          <w:marRight w:val="0"/>
                                          <w:marTop w:val="0"/>
                                          <w:marBottom w:val="0"/>
                                          <w:divBdr>
                                            <w:top w:val="none" w:sz="0" w:space="0" w:color="auto"/>
                                            <w:left w:val="none" w:sz="0" w:space="0" w:color="auto"/>
                                            <w:bottom w:val="none" w:sz="0" w:space="0" w:color="auto"/>
                                            <w:right w:val="none" w:sz="0" w:space="0" w:color="auto"/>
                                          </w:divBdr>
                                          <w:divsChild>
                                            <w:div w:id="1814903942">
                                              <w:marLeft w:val="0"/>
                                              <w:marRight w:val="0"/>
                                              <w:marTop w:val="0"/>
                                              <w:marBottom w:val="0"/>
                                              <w:divBdr>
                                                <w:top w:val="none" w:sz="0" w:space="0" w:color="auto"/>
                                                <w:left w:val="none" w:sz="0" w:space="0" w:color="auto"/>
                                                <w:bottom w:val="none" w:sz="0" w:space="0" w:color="auto"/>
                                                <w:right w:val="none" w:sz="0" w:space="0" w:color="auto"/>
                                              </w:divBdr>
                                              <w:divsChild>
                                                <w:div w:id="2087654150">
                                                  <w:marLeft w:val="0"/>
                                                  <w:marRight w:val="0"/>
                                                  <w:marTop w:val="0"/>
                                                  <w:marBottom w:val="0"/>
                                                  <w:divBdr>
                                                    <w:top w:val="none" w:sz="0" w:space="0" w:color="auto"/>
                                                    <w:left w:val="none" w:sz="0" w:space="0" w:color="auto"/>
                                                    <w:bottom w:val="none" w:sz="0" w:space="0" w:color="auto"/>
                                                    <w:right w:val="none" w:sz="0" w:space="0" w:color="auto"/>
                                                  </w:divBdr>
                                                  <w:divsChild>
                                                    <w:div w:id="1199469910">
                                                      <w:marLeft w:val="0"/>
                                                      <w:marRight w:val="0"/>
                                                      <w:marTop w:val="0"/>
                                                      <w:marBottom w:val="0"/>
                                                      <w:divBdr>
                                                        <w:top w:val="none" w:sz="0" w:space="0" w:color="auto"/>
                                                        <w:left w:val="none" w:sz="0" w:space="0" w:color="auto"/>
                                                        <w:bottom w:val="none" w:sz="0" w:space="0" w:color="auto"/>
                                                        <w:right w:val="none" w:sz="0" w:space="0" w:color="auto"/>
                                                      </w:divBdr>
                                                      <w:divsChild>
                                                        <w:div w:id="881865059">
                                                          <w:marLeft w:val="0"/>
                                                          <w:marRight w:val="0"/>
                                                          <w:marTop w:val="0"/>
                                                          <w:marBottom w:val="0"/>
                                                          <w:divBdr>
                                                            <w:top w:val="none" w:sz="0" w:space="0" w:color="auto"/>
                                                            <w:left w:val="none" w:sz="0" w:space="0" w:color="auto"/>
                                                            <w:bottom w:val="none" w:sz="0" w:space="0" w:color="auto"/>
                                                            <w:right w:val="none" w:sz="0" w:space="0" w:color="auto"/>
                                                          </w:divBdr>
                                                          <w:divsChild>
                                                            <w:div w:id="353961790">
                                                              <w:marLeft w:val="0"/>
                                                              <w:marRight w:val="0"/>
                                                              <w:marTop w:val="0"/>
                                                              <w:marBottom w:val="0"/>
                                                              <w:divBdr>
                                                                <w:top w:val="none" w:sz="0" w:space="0" w:color="auto"/>
                                                                <w:left w:val="none" w:sz="0" w:space="0" w:color="auto"/>
                                                                <w:bottom w:val="none" w:sz="0" w:space="0" w:color="auto"/>
                                                                <w:right w:val="none" w:sz="0" w:space="0" w:color="auto"/>
                                                              </w:divBdr>
                                                            </w:div>
                                                            <w:div w:id="1389305515">
                                                              <w:marLeft w:val="0"/>
                                                              <w:marRight w:val="0"/>
                                                              <w:marTop w:val="0"/>
                                                              <w:marBottom w:val="0"/>
                                                              <w:divBdr>
                                                                <w:top w:val="none" w:sz="0" w:space="0" w:color="auto"/>
                                                                <w:left w:val="none" w:sz="0" w:space="0" w:color="auto"/>
                                                                <w:bottom w:val="none" w:sz="0" w:space="0" w:color="auto"/>
                                                                <w:right w:val="none" w:sz="0" w:space="0" w:color="auto"/>
                                                              </w:divBdr>
                                                            </w:div>
                                                            <w:div w:id="533268571">
                                                              <w:marLeft w:val="0"/>
                                                              <w:marRight w:val="0"/>
                                                              <w:marTop w:val="0"/>
                                                              <w:marBottom w:val="0"/>
                                                              <w:divBdr>
                                                                <w:top w:val="none" w:sz="0" w:space="0" w:color="auto"/>
                                                                <w:left w:val="none" w:sz="0" w:space="0" w:color="auto"/>
                                                                <w:bottom w:val="none" w:sz="0" w:space="0" w:color="auto"/>
                                                                <w:right w:val="none" w:sz="0" w:space="0" w:color="auto"/>
                                                              </w:divBdr>
                                                            </w:div>
                                                            <w:div w:id="989791409">
                                                              <w:marLeft w:val="0"/>
                                                              <w:marRight w:val="0"/>
                                                              <w:marTop w:val="0"/>
                                                              <w:marBottom w:val="0"/>
                                                              <w:divBdr>
                                                                <w:top w:val="none" w:sz="0" w:space="0" w:color="auto"/>
                                                                <w:left w:val="none" w:sz="0" w:space="0" w:color="auto"/>
                                                                <w:bottom w:val="none" w:sz="0" w:space="0" w:color="auto"/>
                                                                <w:right w:val="none" w:sz="0" w:space="0" w:color="auto"/>
                                                              </w:divBdr>
                                                            </w:div>
                                                            <w:div w:id="51471722">
                                                              <w:marLeft w:val="0"/>
                                                              <w:marRight w:val="0"/>
                                                              <w:marTop w:val="0"/>
                                                              <w:marBottom w:val="0"/>
                                                              <w:divBdr>
                                                                <w:top w:val="none" w:sz="0" w:space="0" w:color="auto"/>
                                                                <w:left w:val="none" w:sz="0" w:space="0" w:color="auto"/>
                                                                <w:bottom w:val="none" w:sz="0" w:space="0" w:color="auto"/>
                                                                <w:right w:val="none" w:sz="0" w:space="0" w:color="auto"/>
                                                              </w:divBdr>
                                                              <w:divsChild>
                                                                <w:div w:id="31018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247489">
      <w:bodyDiv w:val="1"/>
      <w:marLeft w:val="0"/>
      <w:marRight w:val="0"/>
      <w:marTop w:val="0"/>
      <w:marBottom w:val="0"/>
      <w:divBdr>
        <w:top w:val="none" w:sz="0" w:space="0" w:color="auto"/>
        <w:left w:val="none" w:sz="0" w:space="0" w:color="auto"/>
        <w:bottom w:val="none" w:sz="0" w:space="0" w:color="auto"/>
        <w:right w:val="none" w:sz="0" w:space="0" w:color="auto"/>
      </w:divBdr>
    </w:div>
    <w:div w:id="312298933">
      <w:bodyDiv w:val="1"/>
      <w:marLeft w:val="0"/>
      <w:marRight w:val="0"/>
      <w:marTop w:val="0"/>
      <w:marBottom w:val="0"/>
      <w:divBdr>
        <w:top w:val="none" w:sz="0" w:space="0" w:color="auto"/>
        <w:left w:val="none" w:sz="0" w:space="0" w:color="auto"/>
        <w:bottom w:val="none" w:sz="0" w:space="0" w:color="auto"/>
        <w:right w:val="none" w:sz="0" w:space="0" w:color="auto"/>
      </w:divBdr>
    </w:div>
    <w:div w:id="547230906">
      <w:bodyDiv w:val="1"/>
      <w:marLeft w:val="0"/>
      <w:marRight w:val="0"/>
      <w:marTop w:val="0"/>
      <w:marBottom w:val="0"/>
      <w:divBdr>
        <w:top w:val="none" w:sz="0" w:space="0" w:color="auto"/>
        <w:left w:val="none" w:sz="0" w:space="0" w:color="auto"/>
        <w:bottom w:val="none" w:sz="0" w:space="0" w:color="auto"/>
        <w:right w:val="none" w:sz="0" w:space="0" w:color="auto"/>
      </w:divBdr>
      <w:divsChild>
        <w:div w:id="746611064">
          <w:marLeft w:val="274"/>
          <w:marRight w:val="0"/>
          <w:marTop w:val="0"/>
          <w:marBottom w:val="0"/>
          <w:divBdr>
            <w:top w:val="none" w:sz="0" w:space="0" w:color="auto"/>
            <w:left w:val="none" w:sz="0" w:space="0" w:color="auto"/>
            <w:bottom w:val="none" w:sz="0" w:space="0" w:color="auto"/>
            <w:right w:val="none" w:sz="0" w:space="0" w:color="auto"/>
          </w:divBdr>
        </w:div>
        <w:div w:id="1131090539">
          <w:marLeft w:val="274"/>
          <w:marRight w:val="0"/>
          <w:marTop w:val="0"/>
          <w:marBottom w:val="0"/>
          <w:divBdr>
            <w:top w:val="none" w:sz="0" w:space="0" w:color="auto"/>
            <w:left w:val="none" w:sz="0" w:space="0" w:color="auto"/>
            <w:bottom w:val="none" w:sz="0" w:space="0" w:color="auto"/>
            <w:right w:val="none" w:sz="0" w:space="0" w:color="auto"/>
          </w:divBdr>
        </w:div>
        <w:div w:id="1112821247">
          <w:marLeft w:val="274"/>
          <w:marRight w:val="0"/>
          <w:marTop w:val="0"/>
          <w:marBottom w:val="0"/>
          <w:divBdr>
            <w:top w:val="none" w:sz="0" w:space="0" w:color="auto"/>
            <w:left w:val="none" w:sz="0" w:space="0" w:color="auto"/>
            <w:bottom w:val="none" w:sz="0" w:space="0" w:color="auto"/>
            <w:right w:val="none" w:sz="0" w:space="0" w:color="auto"/>
          </w:divBdr>
        </w:div>
        <w:div w:id="99955129">
          <w:marLeft w:val="274"/>
          <w:marRight w:val="0"/>
          <w:marTop w:val="0"/>
          <w:marBottom w:val="0"/>
          <w:divBdr>
            <w:top w:val="none" w:sz="0" w:space="0" w:color="auto"/>
            <w:left w:val="none" w:sz="0" w:space="0" w:color="auto"/>
            <w:bottom w:val="none" w:sz="0" w:space="0" w:color="auto"/>
            <w:right w:val="none" w:sz="0" w:space="0" w:color="auto"/>
          </w:divBdr>
        </w:div>
      </w:divsChild>
    </w:div>
    <w:div w:id="904880772">
      <w:bodyDiv w:val="1"/>
      <w:marLeft w:val="0"/>
      <w:marRight w:val="0"/>
      <w:marTop w:val="0"/>
      <w:marBottom w:val="0"/>
      <w:divBdr>
        <w:top w:val="none" w:sz="0" w:space="0" w:color="auto"/>
        <w:left w:val="none" w:sz="0" w:space="0" w:color="auto"/>
        <w:bottom w:val="none" w:sz="0" w:space="0" w:color="auto"/>
        <w:right w:val="none" w:sz="0" w:space="0" w:color="auto"/>
      </w:divBdr>
    </w:div>
    <w:div w:id="1133252787">
      <w:bodyDiv w:val="1"/>
      <w:marLeft w:val="0"/>
      <w:marRight w:val="0"/>
      <w:marTop w:val="0"/>
      <w:marBottom w:val="0"/>
      <w:divBdr>
        <w:top w:val="none" w:sz="0" w:space="0" w:color="auto"/>
        <w:left w:val="none" w:sz="0" w:space="0" w:color="auto"/>
        <w:bottom w:val="none" w:sz="0" w:space="0" w:color="auto"/>
        <w:right w:val="none" w:sz="0" w:space="0" w:color="auto"/>
      </w:divBdr>
    </w:div>
    <w:div w:id="1285454770">
      <w:bodyDiv w:val="1"/>
      <w:marLeft w:val="0"/>
      <w:marRight w:val="0"/>
      <w:marTop w:val="0"/>
      <w:marBottom w:val="0"/>
      <w:divBdr>
        <w:top w:val="none" w:sz="0" w:space="0" w:color="auto"/>
        <w:left w:val="none" w:sz="0" w:space="0" w:color="auto"/>
        <w:bottom w:val="none" w:sz="0" w:space="0" w:color="auto"/>
        <w:right w:val="none" w:sz="0" w:space="0" w:color="auto"/>
      </w:divBdr>
    </w:div>
    <w:div w:id="1476528918">
      <w:bodyDiv w:val="1"/>
      <w:marLeft w:val="0"/>
      <w:marRight w:val="0"/>
      <w:marTop w:val="0"/>
      <w:marBottom w:val="0"/>
      <w:divBdr>
        <w:top w:val="none" w:sz="0" w:space="0" w:color="auto"/>
        <w:left w:val="none" w:sz="0" w:space="0" w:color="auto"/>
        <w:bottom w:val="none" w:sz="0" w:space="0" w:color="auto"/>
        <w:right w:val="none" w:sz="0" w:space="0" w:color="auto"/>
      </w:divBdr>
    </w:div>
    <w:div w:id="1569001361">
      <w:bodyDiv w:val="1"/>
      <w:marLeft w:val="0"/>
      <w:marRight w:val="0"/>
      <w:marTop w:val="0"/>
      <w:marBottom w:val="0"/>
      <w:divBdr>
        <w:top w:val="none" w:sz="0" w:space="0" w:color="auto"/>
        <w:left w:val="none" w:sz="0" w:space="0" w:color="auto"/>
        <w:bottom w:val="none" w:sz="0" w:space="0" w:color="auto"/>
        <w:right w:val="none" w:sz="0" w:space="0" w:color="auto"/>
      </w:divBdr>
    </w:div>
    <w:div w:id="1620338149">
      <w:bodyDiv w:val="1"/>
      <w:marLeft w:val="0"/>
      <w:marRight w:val="0"/>
      <w:marTop w:val="0"/>
      <w:marBottom w:val="0"/>
      <w:divBdr>
        <w:top w:val="none" w:sz="0" w:space="0" w:color="auto"/>
        <w:left w:val="none" w:sz="0" w:space="0" w:color="auto"/>
        <w:bottom w:val="none" w:sz="0" w:space="0" w:color="auto"/>
        <w:right w:val="none" w:sz="0" w:space="0" w:color="auto"/>
      </w:divBdr>
    </w:div>
    <w:div w:id="1776704580">
      <w:bodyDiv w:val="1"/>
      <w:marLeft w:val="0"/>
      <w:marRight w:val="0"/>
      <w:marTop w:val="0"/>
      <w:marBottom w:val="0"/>
      <w:divBdr>
        <w:top w:val="none" w:sz="0" w:space="0" w:color="auto"/>
        <w:left w:val="none" w:sz="0" w:space="0" w:color="auto"/>
        <w:bottom w:val="none" w:sz="0" w:space="0" w:color="auto"/>
        <w:right w:val="none" w:sz="0" w:space="0" w:color="auto"/>
      </w:divBdr>
      <w:divsChild>
        <w:div w:id="1270970146">
          <w:marLeft w:val="0"/>
          <w:marRight w:val="0"/>
          <w:marTop w:val="0"/>
          <w:marBottom w:val="0"/>
          <w:divBdr>
            <w:top w:val="none" w:sz="0" w:space="0" w:color="auto"/>
            <w:left w:val="none" w:sz="0" w:space="0" w:color="auto"/>
            <w:bottom w:val="none" w:sz="0" w:space="0" w:color="auto"/>
            <w:right w:val="none" w:sz="0" w:space="0" w:color="auto"/>
          </w:divBdr>
          <w:divsChild>
            <w:div w:id="1126309850">
              <w:marLeft w:val="0"/>
              <w:marRight w:val="0"/>
              <w:marTop w:val="0"/>
              <w:marBottom w:val="0"/>
              <w:divBdr>
                <w:top w:val="none" w:sz="0" w:space="0" w:color="auto"/>
                <w:left w:val="none" w:sz="0" w:space="0" w:color="auto"/>
                <w:bottom w:val="none" w:sz="0" w:space="0" w:color="auto"/>
                <w:right w:val="none" w:sz="0" w:space="0" w:color="auto"/>
              </w:divBdr>
              <w:divsChild>
                <w:div w:id="249657317">
                  <w:marLeft w:val="0"/>
                  <w:marRight w:val="0"/>
                  <w:marTop w:val="0"/>
                  <w:marBottom w:val="0"/>
                  <w:divBdr>
                    <w:top w:val="none" w:sz="0" w:space="0" w:color="auto"/>
                    <w:left w:val="none" w:sz="0" w:space="0" w:color="auto"/>
                    <w:bottom w:val="none" w:sz="0" w:space="0" w:color="auto"/>
                    <w:right w:val="none" w:sz="0" w:space="0" w:color="auto"/>
                  </w:divBdr>
                </w:div>
              </w:divsChild>
            </w:div>
            <w:div w:id="2063752527">
              <w:marLeft w:val="0"/>
              <w:marRight w:val="0"/>
              <w:marTop w:val="0"/>
              <w:marBottom w:val="0"/>
              <w:divBdr>
                <w:top w:val="none" w:sz="0" w:space="0" w:color="auto"/>
                <w:left w:val="none" w:sz="0" w:space="0" w:color="auto"/>
                <w:bottom w:val="none" w:sz="0" w:space="0" w:color="auto"/>
                <w:right w:val="none" w:sz="0" w:space="0" w:color="auto"/>
              </w:divBdr>
            </w:div>
          </w:divsChild>
        </w:div>
        <w:div w:id="1631592780">
          <w:marLeft w:val="0"/>
          <w:marRight w:val="0"/>
          <w:marTop w:val="0"/>
          <w:marBottom w:val="0"/>
          <w:divBdr>
            <w:top w:val="none" w:sz="0" w:space="0" w:color="auto"/>
            <w:left w:val="none" w:sz="0" w:space="0" w:color="auto"/>
            <w:bottom w:val="none" w:sz="0" w:space="0" w:color="auto"/>
            <w:right w:val="none" w:sz="0" w:space="0" w:color="auto"/>
          </w:divBdr>
          <w:divsChild>
            <w:div w:id="35396349">
              <w:marLeft w:val="0"/>
              <w:marRight w:val="0"/>
              <w:marTop w:val="0"/>
              <w:marBottom w:val="0"/>
              <w:divBdr>
                <w:top w:val="none" w:sz="0" w:space="0" w:color="auto"/>
                <w:left w:val="none" w:sz="0" w:space="0" w:color="auto"/>
                <w:bottom w:val="none" w:sz="0" w:space="0" w:color="auto"/>
                <w:right w:val="none" w:sz="0" w:space="0" w:color="auto"/>
              </w:divBdr>
              <w:divsChild>
                <w:div w:id="627783107">
                  <w:marLeft w:val="0"/>
                  <w:marRight w:val="0"/>
                  <w:marTop w:val="0"/>
                  <w:marBottom w:val="0"/>
                  <w:divBdr>
                    <w:top w:val="none" w:sz="0" w:space="0" w:color="auto"/>
                    <w:left w:val="none" w:sz="0" w:space="0" w:color="auto"/>
                    <w:bottom w:val="none" w:sz="0" w:space="0" w:color="auto"/>
                    <w:right w:val="none" w:sz="0" w:space="0" w:color="auto"/>
                  </w:divBdr>
                  <w:divsChild>
                    <w:div w:id="1243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217083">
          <w:marLeft w:val="0"/>
          <w:marRight w:val="0"/>
          <w:marTop w:val="0"/>
          <w:marBottom w:val="0"/>
          <w:divBdr>
            <w:top w:val="none" w:sz="0" w:space="0" w:color="auto"/>
            <w:left w:val="none" w:sz="0" w:space="0" w:color="auto"/>
            <w:bottom w:val="none" w:sz="0" w:space="0" w:color="auto"/>
            <w:right w:val="none" w:sz="0" w:space="0" w:color="auto"/>
          </w:divBdr>
          <w:divsChild>
            <w:div w:id="1170293894">
              <w:marLeft w:val="0"/>
              <w:marRight w:val="0"/>
              <w:marTop w:val="0"/>
              <w:marBottom w:val="0"/>
              <w:divBdr>
                <w:top w:val="none" w:sz="0" w:space="0" w:color="auto"/>
                <w:left w:val="none" w:sz="0" w:space="0" w:color="auto"/>
                <w:bottom w:val="none" w:sz="0" w:space="0" w:color="auto"/>
                <w:right w:val="none" w:sz="0" w:space="0" w:color="auto"/>
              </w:divBdr>
              <w:divsChild>
                <w:div w:id="1575820252">
                  <w:marLeft w:val="0"/>
                  <w:marRight w:val="0"/>
                  <w:marTop w:val="0"/>
                  <w:marBottom w:val="0"/>
                  <w:divBdr>
                    <w:top w:val="none" w:sz="0" w:space="0" w:color="auto"/>
                    <w:left w:val="none" w:sz="0" w:space="0" w:color="auto"/>
                    <w:bottom w:val="none" w:sz="0" w:space="0" w:color="auto"/>
                    <w:right w:val="none" w:sz="0" w:space="0" w:color="auto"/>
                  </w:divBdr>
                  <w:divsChild>
                    <w:div w:id="160897191">
                      <w:marLeft w:val="0"/>
                      <w:marRight w:val="0"/>
                      <w:marTop w:val="0"/>
                      <w:marBottom w:val="0"/>
                      <w:divBdr>
                        <w:top w:val="none" w:sz="0" w:space="0" w:color="auto"/>
                        <w:left w:val="none" w:sz="0" w:space="0" w:color="auto"/>
                        <w:bottom w:val="none" w:sz="0" w:space="0" w:color="auto"/>
                        <w:right w:val="none" w:sz="0" w:space="0" w:color="auto"/>
                      </w:divBdr>
                      <w:divsChild>
                        <w:div w:id="781461871">
                          <w:marLeft w:val="0"/>
                          <w:marRight w:val="0"/>
                          <w:marTop w:val="0"/>
                          <w:marBottom w:val="0"/>
                          <w:divBdr>
                            <w:top w:val="none" w:sz="0" w:space="0" w:color="auto"/>
                            <w:left w:val="none" w:sz="0" w:space="0" w:color="auto"/>
                            <w:bottom w:val="none" w:sz="0" w:space="0" w:color="auto"/>
                            <w:right w:val="none" w:sz="0" w:space="0" w:color="auto"/>
                          </w:divBdr>
                          <w:divsChild>
                            <w:div w:id="1702321743">
                              <w:marLeft w:val="0"/>
                              <w:marRight w:val="0"/>
                              <w:marTop w:val="0"/>
                              <w:marBottom w:val="0"/>
                              <w:divBdr>
                                <w:top w:val="none" w:sz="0" w:space="0" w:color="auto"/>
                                <w:left w:val="none" w:sz="0" w:space="0" w:color="auto"/>
                                <w:bottom w:val="none" w:sz="0" w:space="0" w:color="auto"/>
                                <w:right w:val="none" w:sz="0" w:space="0" w:color="auto"/>
                              </w:divBdr>
                              <w:divsChild>
                                <w:div w:id="1695185742">
                                  <w:marLeft w:val="0"/>
                                  <w:marRight w:val="0"/>
                                  <w:marTop w:val="0"/>
                                  <w:marBottom w:val="0"/>
                                  <w:divBdr>
                                    <w:top w:val="none" w:sz="0" w:space="0" w:color="auto"/>
                                    <w:left w:val="none" w:sz="0" w:space="0" w:color="auto"/>
                                    <w:bottom w:val="none" w:sz="0" w:space="0" w:color="auto"/>
                                    <w:right w:val="none" w:sz="0" w:space="0" w:color="auto"/>
                                  </w:divBdr>
                                </w:div>
                                <w:div w:id="20133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657403">
      <w:marLeft w:val="0"/>
      <w:marRight w:val="0"/>
      <w:marTop w:val="0"/>
      <w:marBottom w:val="0"/>
      <w:divBdr>
        <w:top w:val="none" w:sz="0" w:space="0" w:color="auto"/>
        <w:left w:val="none" w:sz="0" w:space="0" w:color="auto"/>
        <w:bottom w:val="none" w:sz="0" w:space="0" w:color="auto"/>
        <w:right w:val="none" w:sz="0" w:space="0" w:color="auto"/>
      </w:divBdr>
    </w:div>
    <w:div w:id="198261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048969724032017?via%3Dihub" TargetMode="External"/><Relationship Id="rId13" Type="http://schemas.openxmlformats.org/officeDocument/2006/relationships/hyperlink" Target="http://www.ird.f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sse@mnhn.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cnrs.fr" TargetMode="External"/><Relationship Id="rId5" Type="http://schemas.openxmlformats.org/officeDocument/2006/relationships/webSettings" Target="webSettings.xml"/><Relationship Id="rId15" Type="http://schemas.openxmlformats.org/officeDocument/2006/relationships/hyperlink" Target="http://www.mnhn.fr" TargetMode="External"/><Relationship Id="rId10" Type="http://schemas.openxmlformats.org/officeDocument/2006/relationships/hyperlink" Target="mailto:presse@ird.f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iencedirect.com/science/article/pii/S0048969724032017?via%3Dihub" TargetMode="External"/><Relationship Id="rId14" Type="http://schemas.openxmlformats.org/officeDocument/2006/relationships/hyperlink" Target="https://www.cnrs.fr/fr/newsro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F42CE-9C57-47DF-9C50-2B3948FB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1332</Words>
  <Characters>7331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IRD</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Oriane DESCHAMPS</dc:creator>
  <cp:keywords/>
  <dc:description/>
  <cp:lastModifiedBy>Oriane DESCHAMPS</cp:lastModifiedBy>
  <cp:revision>3</cp:revision>
  <cp:lastPrinted>2022-05-11T08:51:00Z</cp:lastPrinted>
  <dcterms:created xsi:type="dcterms:W3CDTF">2024-06-13T07:08:00Z</dcterms:created>
  <dcterms:modified xsi:type="dcterms:W3CDTF">2024-06-13T07:31:00Z</dcterms:modified>
</cp:coreProperties>
</file>